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20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010"/>
      </w:tblGrid>
      <w:tr w:rsidR="00470AE2" w14:paraId="356F0176" w14:textId="77777777" w:rsidTr="006539CA">
        <w:trPr>
          <w:trHeight w:val="57"/>
        </w:trPr>
        <w:tc>
          <w:tcPr>
            <w:tcW w:w="22010" w:type="dxa"/>
            <w:vAlign w:val="center"/>
          </w:tcPr>
          <w:p w14:paraId="254A7B75" w14:textId="62AF0243" w:rsidR="00470AE2" w:rsidRPr="00FC22ED" w:rsidRDefault="00FC22ED" w:rsidP="007D43C1">
            <w:pPr>
              <w:ind w:left="1207"/>
              <w:jc w:val="center"/>
              <w:rPr>
                <w:sz w:val="40"/>
                <w:szCs w:val="40"/>
              </w:rPr>
            </w:pPr>
            <w:r w:rsidRPr="00FC22ED">
              <w:rPr>
                <w:sz w:val="40"/>
                <w:szCs w:val="40"/>
              </w:rPr>
              <w:t>AFFICHAGES OBLIGATOIRES DE L’ENTREPRISE …………………………</w:t>
            </w:r>
            <w:proofErr w:type="gramStart"/>
            <w:r w:rsidRPr="00FC22ED">
              <w:rPr>
                <w:sz w:val="40"/>
                <w:szCs w:val="40"/>
              </w:rPr>
              <w:t>…….</w:t>
            </w:r>
            <w:proofErr w:type="gramEnd"/>
          </w:p>
        </w:tc>
      </w:tr>
    </w:tbl>
    <w:p w14:paraId="12390DA2" w14:textId="77777777" w:rsidR="003019D7" w:rsidRPr="00D5786B" w:rsidRDefault="003019D7" w:rsidP="00D5786B">
      <w:pPr>
        <w:spacing w:after="0"/>
        <w:rPr>
          <w:sz w:val="20"/>
          <w:szCs w:val="20"/>
        </w:rPr>
      </w:pPr>
    </w:p>
    <w:tbl>
      <w:tblPr>
        <w:tblpPr w:leftFromText="141" w:rightFromText="141" w:vertAnchor="text" w:horzAnchor="margin" w:tblpY="-160"/>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462"/>
      </w:tblGrid>
      <w:tr w:rsidR="00CB3E02" w:rsidRPr="00D5786B" w14:paraId="76087232" w14:textId="77777777" w:rsidTr="006539CA">
        <w:trPr>
          <w:trHeight w:val="1839"/>
        </w:trPr>
        <w:tc>
          <w:tcPr>
            <w:tcW w:w="13462" w:type="dxa"/>
          </w:tcPr>
          <w:p w14:paraId="5C38B052" w14:textId="5F4FC550" w:rsidR="00CB3E02" w:rsidRDefault="00D5786B" w:rsidP="002F03C7">
            <w:pPr>
              <w:spacing w:after="0"/>
              <w:ind w:right="-403"/>
              <w:rPr>
                <w:sz w:val="20"/>
                <w:szCs w:val="20"/>
              </w:rPr>
            </w:pPr>
            <w:r w:rsidRPr="00D5786B">
              <w:rPr>
                <w:sz w:val="20"/>
                <w:szCs w:val="20"/>
              </w:rPr>
              <w:t>INSPECTION DU TRAVAIL : N</w:t>
            </w:r>
            <w:r w:rsidR="00C74718">
              <w:rPr>
                <w:sz w:val="20"/>
                <w:szCs w:val="20"/>
              </w:rPr>
              <w:t>om</w:t>
            </w:r>
            <w:r w:rsidRPr="00D5786B">
              <w:rPr>
                <w:sz w:val="20"/>
                <w:szCs w:val="20"/>
              </w:rPr>
              <w:t> : …………………. Adresse ………………………………………….</w:t>
            </w:r>
            <w:r>
              <w:rPr>
                <w:sz w:val="20"/>
                <w:szCs w:val="20"/>
              </w:rPr>
              <w:t xml:space="preserve"> Téléphone : …………</w:t>
            </w:r>
            <w:proofErr w:type="gramStart"/>
            <w:r>
              <w:rPr>
                <w:sz w:val="20"/>
                <w:szCs w:val="20"/>
              </w:rPr>
              <w:t>…….</w:t>
            </w:r>
            <w:proofErr w:type="gramEnd"/>
            <w:r>
              <w:rPr>
                <w:sz w:val="20"/>
                <w:szCs w:val="20"/>
              </w:rPr>
              <w:t>.</w:t>
            </w:r>
          </w:p>
          <w:p w14:paraId="793272D7" w14:textId="598469A6" w:rsidR="00D5786B" w:rsidRDefault="00D5786B" w:rsidP="00D5786B">
            <w:pPr>
              <w:spacing w:after="0"/>
              <w:rPr>
                <w:sz w:val="20"/>
                <w:szCs w:val="20"/>
              </w:rPr>
            </w:pPr>
            <w:r>
              <w:rPr>
                <w:sz w:val="20"/>
                <w:szCs w:val="20"/>
              </w:rPr>
              <w:t>MEDECINE DU TRAVAIL : Nom …………………</w:t>
            </w:r>
            <w:proofErr w:type="gramStart"/>
            <w:r>
              <w:rPr>
                <w:sz w:val="20"/>
                <w:szCs w:val="20"/>
              </w:rPr>
              <w:t>…….</w:t>
            </w:r>
            <w:proofErr w:type="gramEnd"/>
            <w:r>
              <w:rPr>
                <w:sz w:val="20"/>
                <w:szCs w:val="20"/>
              </w:rPr>
              <w:t>Adresse ……………………………………………Téléphone ……………….</w:t>
            </w:r>
          </w:p>
          <w:p w14:paraId="230F20CB" w14:textId="49A1149E" w:rsidR="00D5786B" w:rsidRDefault="00A52828" w:rsidP="00D5786B">
            <w:pPr>
              <w:spacing w:after="0"/>
              <w:rPr>
                <w:sz w:val="20"/>
                <w:szCs w:val="20"/>
              </w:rPr>
            </w:pPr>
            <w:r>
              <w:rPr>
                <w:sz w:val="20"/>
                <w:szCs w:val="20"/>
              </w:rPr>
              <w:t>SERVICE D’URGENCE LE PLUS PROCHE</w:t>
            </w:r>
            <w:r w:rsidR="000D0D51">
              <w:rPr>
                <w:sz w:val="20"/>
                <w:szCs w:val="20"/>
              </w:rPr>
              <w:t> : ………………… Adresse ……………………………………… Téléphone …………………………………</w:t>
            </w:r>
          </w:p>
          <w:p w14:paraId="47C004C6" w14:textId="4F61BF1C" w:rsidR="006539CA" w:rsidRPr="00C74718" w:rsidRDefault="00B23FEE" w:rsidP="00D5786B">
            <w:pPr>
              <w:spacing w:after="0"/>
              <w:rPr>
                <w:iCs/>
                <w:sz w:val="20"/>
                <w:szCs w:val="20"/>
              </w:rPr>
            </w:pPr>
            <w:r w:rsidRPr="00B23FEE">
              <w:rPr>
                <w:iCs/>
                <w:sz w:val="20"/>
                <w:szCs w:val="20"/>
              </w:rPr>
              <w:t>SECOURISTES DANS L’ENTREPR</w:t>
            </w:r>
            <w:r>
              <w:rPr>
                <w:iCs/>
                <w:sz w:val="20"/>
                <w:szCs w:val="20"/>
              </w:rPr>
              <w:t>ISE : Nom : …………………... Coordonnées : …………………………………. Poste : ………………………</w:t>
            </w:r>
            <w:proofErr w:type="gramStart"/>
            <w:r>
              <w:rPr>
                <w:iCs/>
                <w:sz w:val="20"/>
                <w:szCs w:val="20"/>
              </w:rPr>
              <w:t>…….</w:t>
            </w:r>
            <w:proofErr w:type="gramEnd"/>
            <w:r>
              <w:rPr>
                <w:iCs/>
                <w:sz w:val="20"/>
                <w:szCs w:val="20"/>
              </w:rPr>
              <w:t>.</w:t>
            </w:r>
          </w:p>
          <w:tbl>
            <w:tblPr>
              <w:tblStyle w:val="Grilledutableau"/>
              <w:tblW w:w="11369" w:type="dxa"/>
              <w:tblLook w:val="04A0" w:firstRow="1" w:lastRow="0" w:firstColumn="1" w:lastColumn="0" w:noHBand="0" w:noVBand="1"/>
            </w:tblPr>
            <w:tblGrid>
              <w:gridCol w:w="1296"/>
              <w:gridCol w:w="1247"/>
              <w:gridCol w:w="2769"/>
              <w:gridCol w:w="1790"/>
              <w:gridCol w:w="2117"/>
              <w:gridCol w:w="2150"/>
            </w:tblGrid>
            <w:tr w:rsidR="00A52828" w14:paraId="5C480324" w14:textId="77777777" w:rsidTr="002F03C7">
              <w:tc>
                <w:tcPr>
                  <w:tcW w:w="1296" w:type="dxa"/>
                </w:tcPr>
                <w:p w14:paraId="628A672B" w14:textId="2B577301" w:rsidR="00A52828" w:rsidRPr="00AF5F7D" w:rsidRDefault="00A52828" w:rsidP="00DD684E">
                  <w:pPr>
                    <w:framePr w:hSpace="141" w:wrap="around" w:vAnchor="text" w:hAnchor="margin" w:y="-160"/>
                    <w:spacing w:after="0"/>
                    <w:rPr>
                      <w:color w:val="0070C0"/>
                      <w:sz w:val="20"/>
                      <w:szCs w:val="20"/>
                    </w:rPr>
                  </w:pPr>
                  <w:r w:rsidRPr="00AF5F7D">
                    <w:rPr>
                      <w:color w:val="0070C0"/>
                      <w:sz w:val="20"/>
                      <w:szCs w:val="20"/>
                    </w:rPr>
                    <w:t xml:space="preserve">SAMU </w:t>
                  </w:r>
                </w:p>
              </w:tc>
              <w:tc>
                <w:tcPr>
                  <w:tcW w:w="1247" w:type="dxa"/>
                </w:tcPr>
                <w:p w14:paraId="72A4D6E7" w14:textId="3F80BD08" w:rsidR="00A52828" w:rsidRPr="00AF5F7D" w:rsidRDefault="00A52828" w:rsidP="00DD684E">
                  <w:pPr>
                    <w:framePr w:hSpace="141" w:wrap="around" w:vAnchor="text" w:hAnchor="margin" w:y="-160"/>
                    <w:spacing w:after="0"/>
                    <w:rPr>
                      <w:b/>
                      <w:bCs/>
                      <w:color w:val="0070C0"/>
                      <w:sz w:val="20"/>
                      <w:szCs w:val="20"/>
                    </w:rPr>
                  </w:pPr>
                  <w:r w:rsidRPr="00AF5F7D">
                    <w:rPr>
                      <w:b/>
                      <w:bCs/>
                      <w:color w:val="0070C0"/>
                      <w:sz w:val="20"/>
                      <w:szCs w:val="20"/>
                    </w:rPr>
                    <w:t>15</w:t>
                  </w:r>
                </w:p>
              </w:tc>
              <w:tc>
                <w:tcPr>
                  <w:tcW w:w="2769" w:type="dxa"/>
                </w:tcPr>
                <w:p w14:paraId="38D5468B" w14:textId="73DC9CDB" w:rsidR="00A52828" w:rsidRDefault="00A52828" w:rsidP="00DD684E">
                  <w:pPr>
                    <w:framePr w:hSpace="141" w:wrap="around" w:vAnchor="text" w:hAnchor="margin" w:y="-160"/>
                    <w:spacing w:after="0"/>
                    <w:rPr>
                      <w:sz w:val="20"/>
                      <w:szCs w:val="20"/>
                    </w:rPr>
                  </w:pPr>
                  <w:r>
                    <w:rPr>
                      <w:sz w:val="20"/>
                      <w:szCs w:val="20"/>
                    </w:rPr>
                    <w:t>CENTRE ANTIPOISON</w:t>
                  </w:r>
                </w:p>
              </w:tc>
              <w:tc>
                <w:tcPr>
                  <w:tcW w:w="1790" w:type="dxa"/>
                </w:tcPr>
                <w:p w14:paraId="69000841" w14:textId="77777777" w:rsidR="00A52828" w:rsidRDefault="00A52828" w:rsidP="00DD684E">
                  <w:pPr>
                    <w:framePr w:hSpace="141" w:wrap="around" w:vAnchor="text" w:hAnchor="margin" w:y="-160"/>
                    <w:spacing w:after="0"/>
                    <w:rPr>
                      <w:sz w:val="20"/>
                      <w:szCs w:val="20"/>
                    </w:rPr>
                  </w:pPr>
                </w:p>
              </w:tc>
              <w:tc>
                <w:tcPr>
                  <w:tcW w:w="2117" w:type="dxa"/>
                </w:tcPr>
                <w:p w14:paraId="41498393" w14:textId="09DCA332" w:rsidR="00A52828" w:rsidRDefault="00A52828" w:rsidP="00DD684E">
                  <w:pPr>
                    <w:framePr w:hSpace="141" w:wrap="around" w:vAnchor="text" w:hAnchor="margin" w:y="-160"/>
                    <w:spacing w:after="0"/>
                    <w:ind w:right="-411"/>
                    <w:rPr>
                      <w:sz w:val="20"/>
                      <w:szCs w:val="20"/>
                    </w:rPr>
                  </w:pPr>
                  <w:r>
                    <w:rPr>
                      <w:sz w:val="20"/>
                      <w:szCs w:val="20"/>
                    </w:rPr>
                    <w:t>URGENCE ELEC</w:t>
                  </w:r>
                  <w:r w:rsidR="002F03C7">
                    <w:rPr>
                      <w:sz w:val="20"/>
                      <w:szCs w:val="20"/>
                    </w:rPr>
                    <w:t>T.</w:t>
                  </w:r>
                </w:p>
              </w:tc>
              <w:tc>
                <w:tcPr>
                  <w:tcW w:w="2150" w:type="dxa"/>
                </w:tcPr>
                <w:p w14:paraId="3C496FB3" w14:textId="77777777" w:rsidR="00A52828" w:rsidRDefault="00A52828" w:rsidP="00DD684E">
                  <w:pPr>
                    <w:framePr w:hSpace="141" w:wrap="around" w:vAnchor="text" w:hAnchor="margin" w:y="-160"/>
                    <w:spacing w:after="0"/>
                    <w:rPr>
                      <w:sz w:val="20"/>
                      <w:szCs w:val="20"/>
                    </w:rPr>
                  </w:pPr>
                </w:p>
              </w:tc>
            </w:tr>
            <w:tr w:rsidR="00A52828" w14:paraId="79E6E0F1" w14:textId="77777777" w:rsidTr="002F03C7">
              <w:trPr>
                <w:gridAfter w:val="2"/>
                <w:wAfter w:w="4267" w:type="dxa"/>
              </w:trPr>
              <w:tc>
                <w:tcPr>
                  <w:tcW w:w="1296" w:type="dxa"/>
                </w:tcPr>
                <w:p w14:paraId="51AD74A3" w14:textId="4B34D954" w:rsidR="00A52828" w:rsidRPr="00AF5F7D" w:rsidRDefault="00A52828" w:rsidP="00DD684E">
                  <w:pPr>
                    <w:framePr w:hSpace="141" w:wrap="around" w:vAnchor="text" w:hAnchor="margin" w:y="-160"/>
                    <w:spacing w:after="0"/>
                    <w:rPr>
                      <w:color w:val="0070C0"/>
                      <w:sz w:val="20"/>
                      <w:szCs w:val="20"/>
                    </w:rPr>
                  </w:pPr>
                  <w:r w:rsidRPr="00AF5F7D">
                    <w:rPr>
                      <w:color w:val="0070C0"/>
                      <w:sz w:val="20"/>
                      <w:szCs w:val="20"/>
                    </w:rPr>
                    <w:t>POLICE</w:t>
                  </w:r>
                </w:p>
              </w:tc>
              <w:tc>
                <w:tcPr>
                  <w:tcW w:w="1247" w:type="dxa"/>
                </w:tcPr>
                <w:p w14:paraId="06607506" w14:textId="2FF3B985" w:rsidR="00A52828" w:rsidRPr="00AF5F7D" w:rsidRDefault="00A52828" w:rsidP="00DD684E">
                  <w:pPr>
                    <w:framePr w:hSpace="141" w:wrap="around" w:vAnchor="text" w:hAnchor="margin" w:y="-160"/>
                    <w:spacing w:after="0"/>
                    <w:rPr>
                      <w:b/>
                      <w:bCs/>
                      <w:color w:val="0070C0"/>
                      <w:sz w:val="20"/>
                      <w:szCs w:val="20"/>
                    </w:rPr>
                  </w:pPr>
                  <w:r w:rsidRPr="00AF5F7D">
                    <w:rPr>
                      <w:b/>
                      <w:bCs/>
                      <w:color w:val="0070C0"/>
                      <w:sz w:val="20"/>
                      <w:szCs w:val="20"/>
                    </w:rPr>
                    <w:t>17</w:t>
                  </w:r>
                </w:p>
              </w:tc>
              <w:tc>
                <w:tcPr>
                  <w:tcW w:w="2769" w:type="dxa"/>
                </w:tcPr>
                <w:p w14:paraId="3D76188F" w14:textId="291762A8" w:rsidR="00A52828" w:rsidRDefault="00A52828" w:rsidP="00DD684E">
                  <w:pPr>
                    <w:framePr w:hSpace="141" w:wrap="around" w:vAnchor="text" w:hAnchor="margin" w:y="-160"/>
                    <w:spacing w:after="0"/>
                    <w:rPr>
                      <w:sz w:val="20"/>
                      <w:szCs w:val="20"/>
                    </w:rPr>
                  </w:pPr>
                  <w:r>
                    <w:rPr>
                      <w:sz w:val="20"/>
                      <w:szCs w:val="20"/>
                    </w:rPr>
                    <w:t>DISCRIMINATIONS</w:t>
                  </w:r>
                </w:p>
              </w:tc>
              <w:tc>
                <w:tcPr>
                  <w:tcW w:w="1790" w:type="dxa"/>
                </w:tcPr>
                <w:p w14:paraId="7698F452" w14:textId="5DD48363" w:rsidR="00A52828" w:rsidRDefault="00794453" w:rsidP="00DD684E">
                  <w:pPr>
                    <w:framePr w:hSpace="141" w:wrap="around" w:vAnchor="text" w:hAnchor="margin" w:y="-160"/>
                    <w:spacing w:after="0"/>
                    <w:rPr>
                      <w:sz w:val="20"/>
                      <w:szCs w:val="20"/>
                    </w:rPr>
                  </w:pPr>
                  <w:r w:rsidRPr="00794453">
                    <w:rPr>
                      <w:b/>
                      <w:sz w:val="20"/>
                      <w:szCs w:val="20"/>
                    </w:rPr>
                    <w:t>09 69 39 00 00</w:t>
                  </w:r>
                </w:p>
              </w:tc>
            </w:tr>
            <w:tr w:rsidR="00A52828" w14:paraId="308BA7E9" w14:textId="77777777" w:rsidTr="002F03C7">
              <w:trPr>
                <w:gridAfter w:val="2"/>
                <w:wAfter w:w="4267" w:type="dxa"/>
              </w:trPr>
              <w:tc>
                <w:tcPr>
                  <w:tcW w:w="1296" w:type="dxa"/>
                </w:tcPr>
                <w:p w14:paraId="70CB0E7C" w14:textId="6B596B1D" w:rsidR="00A52828" w:rsidRPr="00AF5F7D" w:rsidRDefault="00A52828" w:rsidP="00DD684E">
                  <w:pPr>
                    <w:framePr w:hSpace="141" w:wrap="around" w:vAnchor="text" w:hAnchor="margin" w:y="-160"/>
                    <w:spacing w:after="0"/>
                    <w:rPr>
                      <w:color w:val="0070C0"/>
                      <w:sz w:val="20"/>
                      <w:szCs w:val="20"/>
                    </w:rPr>
                  </w:pPr>
                  <w:r w:rsidRPr="00AF5F7D">
                    <w:rPr>
                      <w:color w:val="0070C0"/>
                      <w:sz w:val="20"/>
                      <w:szCs w:val="20"/>
                    </w:rPr>
                    <w:t>POMPIERS</w:t>
                  </w:r>
                </w:p>
              </w:tc>
              <w:tc>
                <w:tcPr>
                  <w:tcW w:w="1247" w:type="dxa"/>
                </w:tcPr>
                <w:p w14:paraId="38F7B165" w14:textId="2918102C" w:rsidR="00A52828" w:rsidRPr="00AF5F7D" w:rsidRDefault="00A52828" w:rsidP="00DD684E">
                  <w:pPr>
                    <w:framePr w:hSpace="141" w:wrap="around" w:vAnchor="text" w:hAnchor="margin" w:y="-160"/>
                    <w:spacing w:after="0"/>
                    <w:rPr>
                      <w:b/>
                      <w:bCs/>
                      <w:color w:val="0070C0"/>
                      <w:sz w:val="20"/>
                      <w:szCs w:val="20"/>
                    </w:rPr>
                  </w:pPr>
                  <w:r w:rsidRPr="00AF5F7D">
                    <w:rPr>
                      <w:b/>
                      <w:bCs/>
                      <w:color w:val="0070C0"/>
                      <w:sz w:val="20"/>
                      <w:szCs w:val="20"/>
                    </w:rPr>
                    <w:t>18 - 112</w:t>
                  </w:r>
                </w:p>
              </w:tc>
              <w:tc>
                <w:tcPr>
                  <w:tcW w:w="2769" w:type="dxa"/>
                </w:tcPr>
                <w:p w14:paraId="115D3D65" w14:textId="115D9AD3" w:rsidR="00A52828" w:rsidRDefault="00A52828" w:rsidP="00DD684E">
                  <w:pPr>
                    <w:framePr w:hSpace="141" w:wrap="around" w:vAnchor="text" w:hAnchor="margin" w:y="-160"/>
                    <w:spacing w:after="0"/>
                    <w:rPr>
                      <w:sz w:val="20"/>
                      <w:szCs w:val="20"/>
                    </w:rPr>
                  </w:pPr>
                  <w:r>
                    <w:rPr>
                      <w:sz w:val="20"/>
                      <w:szCs w:val="20"/>
                    </w:rPr>
                    <w:t>SOS MAINS</w:t>
                  </w:r>
                </w:p>
              </w:tc>
              <w:tc>
                <w:tcPr>
                  <w:tcW w:w="1790" w:type="dxa"/>
                </w:tcPr>
                <w:p w14:paraId="41090D07" w14:textId="77777777" w:rsidR="00A52828" w:rsidRDefault="00A52828" w:rsidP="00DD684E">
                  <w:pPr>
                    <w:framePr w:hSpace="141" w:wrap="around" w:vAnchor="text" w:hAnchor="margin" w:y="-160"/>
                    <w:spacing w:after="0"/>
                    <w:rPr>
                      <w:sz w:val="20"/>
                      <w:szCs w:val="20"/>
                    </w:rPr>
                  </w:pPr>
                </w:p>
              </w:tc>
            </w:tr>
          </w:tbl>
          <w:p w14:paraId="7C62D168" w14:textId="1332E886" w:rsidR="000D0D51" w:rsidRPr="00D5786B" w:rsidRDefault="000D0D51" w:rsidP="00D5786B">
            <w:pPr>
              <w:spacing w:after="0"/>
              <w:rPr>
                <w:sz w:val="20"/>
                <w:szCs w:val="20"/>
              </w:rPr>
            </w:pPr>
          </w:p>
        </w:tc>
      </w:tr>
    </w:tbl>
    <w:tbl>
      <w:tblPr>
        <w:tblpPr w:leftFromText="141" w:rightFromText="141" w:vertAnchor="text" w:horzAnchor="page" w:tblpX="14401"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359"/>
      </w:tblGrid>
      <w:tr w:rsidR="00F34BFF" w14:paraId="19D63785" w14:textId="77777777" w:rsidTr="006539CA">
        <w:trPr>
          <w:trHeight w:val="4592"/>
        </w:trPr>
        <w:tc>
          <w:tcPr>
            <w:tcW w:w="8359" w:type="dxa"/>
          </w:tcPr>
          <w:p w14:paraId="36D38A27" w14:textId="29B53C9B" w:rsidR="002F03C7" w:rsidRPr="002F03C7" w:rsidRDefault="002F03C7" w:rsidP="002F03C7">
            <w:pPr>
              <w:spacing w:after="160" w:line="259" w:lineRule="auto"/>
              <w:jc w:val="center"/>
              <w:rPr>
                <w:b/>
                <w:bCs/>
              </w:rPr>
            </w:pPr>
            <w:r w:rsidRPr="002F03C7">
              <w:rPr>
                <w:b/>
                <w:bCs/>
              </w:rPr>
              <w:t>EGALITE HOMME - FEMME</w:t>
            </w:r>
          </w:p>
          <w:p w14:paraId="76D30E3D" w14:textId="0B6EDAFB" w:rsidR="00F34BFF" w:rsidRPr="00F34BFF" w:rsidRDefault="00F34BFF" w:rsidP="00B23FEE">
            <w:pPr>
              <w:tabs>
                <w:tab w:val="left" w:pos="1011"/>
                <w:tab w:val="left" w:pos="1457"/>
              </w:tabs>
              <w:jc w:val="both"/>
              <w:rPr>
                <w:b/>
                <w:bCs/>
                <w:sz w:val="14"/>
                <w:szCs w:val="14"/>
              </w:rPr>
            </w:pPr>
            <w:r w:rsidRPr="00F34BFF">
              <w:rPr>
                <w:sz w:val="14"/>
                <w:szCs w:val="14"/>
              </w:rPr>
              <w:t xml:space="preserve"> </w:t>
            </w:r>
            <w:r w:rsidRPr="00F34BFF">
              <w:rPr>
                <w:b/>
                <w:bCs/>
                <w:sz w:val="14"/>
                <w:szCs w:val="14"/>
              </w:rPr>
              <w:t>Article L3221-</w:t>
            </w:r>
            <w:proofErr w:type="gramStart"/>
            <w:r w:rsidRPr="00F34BFF">
              <w:rPr>
                <w:b/>
                <w:bCs/>
                <w:sz w:val="14"/>
                <w:szCs w:val="14"/>
              </w:rPr>
              <w:t xml:space="preserve">1 </w:t>
            </w:r>
            <w:r>
              <w:rPr>
                <w:b/>
                <w:bCs/>
                <w:sz w:val="14"/>
                <w:szCs w:val="14"/>
              </w:rPr>
              <w:t>.</w:t>
            </w:r>
            <w:proofErr w:type="gramEnd"/>
            <w:r>
              <w:rPr>
                <w:b/>
                <w:bCs/>
                <w:sz w:val="14"/>
                <w:szCs w:val="14"/>
              </w:rPr>
              <w:t xml:space="preserve"> </w:t>
            </w:r>
            <w:r w:rsidRPr="00F34BFF">
              <w:rPr>
                <w:sz w:val="14"/>
                <w:szCs w:val="14"/>
              </w:rPr>
              <w:t xml:space="preserve">Les dispositions des articles L. 3221-2 à L. 3221-7 sont applicables, outre aux employeurs et salariés mentionnés à l'article L. 3211-1, à ceux non régis par le code du travail et, notamment, aux agents de droit public. </w:t>
            </w:r>
            <w:r w:rsidRPr="00F34BFF">
              <w:rPr>
                <w:b/>
                <w:bCs/>
                <w:sz w:val="14"/>
                <w:szCs w:val="14"/>
              </w:rPr>
              <w:t xml:space="preserve">Article L3221-2 </w:t>
            </w:r>
            <w:r w:rsidRPr="00F34BFF">
              <w:rPr>
                <w:sz w:val="14"/>
                <w:szCs w:val="14"/>
              </w:rPr>
              <w:t xml:space="preserve">Tout employeur assure, pour un même travail ou pour un travail de valeur égale, l'égalité de rémunération entre les femmes et les hommes. </w:t>
            </w:r>
            <w:r w:rsidRPr="00F34BFF">
              <w:rPr>
                <w:b/>
                <w:bCs/>
                <w:sz w:val="14"/>
                <w:szCs w:val="14"/>
              </w:rPr>
              <w:t xml:space="preserve">Article L3221-3 </w:t>
            </w:r>
            <w:r w:rsidRPr="00F34BFF">
              <w:rPr>
                <w:sz w:val="14"/>
                <w:szCs w:val="14"/>
              </w:rPr>
              <w:t xml:space="preserve">Constitue une rémunération au sens du présent chapitre, le salaire ou traitement ordinaire de base ou minimum et tous les autres avantages et accessoires payés, directement ou indirectement, en espèces ou en nature, par l'employeur au salarié en raison de l'emploi de ce dernier. </w:t>
            </w:r>
            <w:r w:rsidRPr="00F34BFF">
              <w:rPr>
                <w:b/>
                <w:bCs/>
                <w:sz w:val="14"/>
                <w:szCs w:val="14"/>
              </w:rPr>
              <w:t xml:space="preserve">Article L3221-4 </w:t>
            </w:r>
            <w:r w:rsidRPr="00F34BFF">
              <w:rPr>
                <w:sz w:val="14"/>
                <w:szCs w:val="14"/>
              </w:rPr>
              <w:t xml:space="preserve">Sont considérés comme ayant une valeur égale, les travaux qui exigent des salariés un ensemble comparable de connaissances professionnelles consacrées par un titre, un diplôme ou une pratique professionnelle, de capacités découlant de l'expérience acquise, de responsabilités et de charge physique ou nerveuse. </w:t>
            </w:r>
            <w:r w:rsidRPr="00F34BFF">
              <w:rPr>
                <w:b/>
                <w:bCs/>
                <w:sz w:val="14"/>
                <w:szCs w:val="14"/>
              </w:rPr>
              <w:t xml:space="preserve">Article L3221-5 </w:t>
            </w:r>
            <w:r w:rsidRPr="00F34BFF">
              <w:rPr>
                <w:sz w:val="14"/>
                <w:szCs w:val="14"/>
              </w:rPr>
              <w:t xml:space="preserve">Les disparités de rémunération entre les établissements d'une même entreprise ne peuvent pas, pour un même travail ou pour un travail de valeur égale, être fondées sur l'appartenance des salariés de ces établissements à l'un ou l'autre sexe. </w:t>
            </w:r>
            <w:r w:rsidRPr="00F34BFF">
              <w:rPr>
                <w:b/>
                <w:bCs/>
                <w:sz w:val="14"/>
                <w:szCs w:val="14"/>
              </w:rPr>
              <w:t xml:space="preserve">Article L3221-6 </w:t>
            </w:r>
            <w:r w:rsidRPr="00F34BFF">
              <w:rPr>
                <w:sz w:val="14"/>
                <w:szCs w:val="14"/>
              </w:rPr>
              <w:t xml:space="preserve">Les différents éléments composant la rémunération sont établis selon des normes identiques pour les femmes et pour les hommes. Les catégories et les critères de classification et de promotion professionnelles ainsi que toutes les autres bases de calcul de la rémunération, notamment les modes d'évaluation des emplois, sont établis selon des règles qui assurent l'application du principe fixé à l'article L. 3221-2. </w:t>
            </w:r>
            <w:r w:rsidRPr="00F34BFF">
              <w:rPr>
                <w:b/>
                <w:bCs/>
                <w:sz w:val="14"/>
                <w:szCs w:val="14"/>
              </w:rPr>
              <w:t xml:space="preserve">Article L3221-7 </w:t>
            </w:r>
            <w:r w:rsidRPr="00F34BFF">
              <w:rPr>
                <w:sz w:val="14"/>
                <w:szCs w:val="14"/>
              </w:rPr>
              <w:t xml:space="preserve">Est nulle de plein droit toute disposition figurant notamment dans un contrat de travail, une convention ou accord collectif de travail, un accord de salaires, un règlement ou barème de salaires résultant d'une décision d'un employeur ou d'un groupement d'employeurs et qui, contrairement aux articles L. 3221-2 à L. 3221-6, comporte, pour un ou des salariés de l'un des deux sexes, une rémunération inférieure à celle de salariés de l'autre sexe pour un même travail ou un travail de valeur égale. La rémunération plus élevée dont bénéficient ces derniers salariés est substituée de plein droit à celle que comportait la disposition entachée de nullité. </w:t>
            </w:r>
            <w:r w:rsidRPr="00F34BFF">
              <w:rPr>
                <w:b/>
                <w:bCs/>
                <w:sz w:val="14"/>
                <w:szCs w:val="14"/>
              </w:rPr>
              <w:t>Article R3221-</w:t>
            </w:r>
            <w:r>
              <w:rPr>
                <w:b/>
                <w:bCs/>
                <w:sz w:val="14"/>
                <w:szCs w:val="14"/>
              </w:rPr>
              <w:t>1 l’</w:t>
            </w:r>
            <w:r w:rsidRPr="00F34BFF">
              <w:rPr>
                <w:sz w:val="14"/>
                <w:szCs w:val="14"/>
              </w:rPr>
              <w:t xml:space="preserve">'inspecteur du travail peut exiger communication des différents éléments qui concourent à la détermination des rémunérations dans l'entreprise, notamment des normes, catégories, critères et bases de calcul mentionnés à l'article L. 3221-6. </w:t>
            </w:r>
            <w:r>
              <w:rPr>
                <w:sz w:val="14"/>
                <w:szCs w:val="14"/>
              </w:rPr>
              <w:t>I</w:t>
            </w:r>
            <w:r w:rsidRPr="00F34BFF">
              <w:rPr>
                <w:sz w:val="14"/>
                <w:szCs w:val="14"/>
              </w:rPr>
              <w:t>l peut procéder à une enquête contradictoire au cours de laquelle l'employeur et les salariés intéressés peuvent se faire assister d'une personne de leur choix. En cas de mise en œuvre d'une procédure de règlement des difficultés dans les conditions prévues à l'article R. 2261-1, il prend connaissance des avis et observations formulés au cours de celle-ci.</w:t>
            </w:r>
          </w:p>
        </w:tc>
      </w:tr>
    </w:tbl>
    <w:tbl>
      <w:tblPr>
        <w:tblpPr w:leftFromText="141" w:rightFromText="141" w:vertAnchor="text" w:horzAnchor="margin" w:tblpY="192"/>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462"/>
      </w:tblGrid>
      <w:tr w:rsidR="00A52828" w14:paraId="6702723B" w14:textId="77777777" w:rsidTr="006539CA">
        <w:trPr>
          <w:trHeight w:val="2438"/>
        </w:trPr>
        <w:tc>
          <w:tcPr>
            <w:tcW w:w="13462" w:type="dxa"/>
          </w:tcPr>
          <w:p w14:paraId="028A7759" w14:textId="2CD54EBA" w:rsidR="00A52828" w:rsidRDefault="00A52828" w:rsidP="00A52828">
            <w:pPr>
              <w:spacing w:after="0"/>
            </w:pPr>
            <w:r>
              <w:t xml:space="preserve">DOCUMENT UNIQUE : </w:t>
            </w:r>
            <w:r w:rsidR="00CD1BB0">
              <w:t>Lieu de consultation : ……………………</w:t>
            </w:r>
            <w:proofErr w:type="gramStart"/>
            <w:r w:rsidR="00CD1BB0">
              <w:t>…</w:t>
            </w:r>
            <w:r w:rsidR="00C74718">
              <w:t>….</w:t>
            </w:r>
            <w:proofErr w:type="gramEnd"/>
            <w:r w:rsidR="00C74718">
              <w:t>.</w:t>
            </w:r>
            <w:r w:rsidR="00CD1BB0">
              <w:t>Modalités : …………………………</w:t>
            </w:r>
            <w:r w:rsidR="00C74718">
              <w:t>………………….</w:t>
            </w:r>
          </w:p>
          <w:p w14:paraId="6A184614" w14:textId="62BC5AD8" w:rsidR="00F61B82" w:rsidRDefault="00F61B82" w:rsidP="00CD1BB0">
            <w:pPr>
              <w:spacing w:after="0"/>
            </w:pPr>
            <w:r w:rsidRPr="00F61B82">
              <w:t>CONVENTION COLLECTIVE : ……………………………Lieu de consultation : …………………………...Modalités : ……………………….</w:t>
            </w:r>
          </w:p>
          <w:p w14:paraId="56DC74D3" w14:textId="244AF150" w:rsidR="00CD1BB0" w:rsidRDefault="00CD1BB0" w:rsidP="00CD1BB0">
            <w:pPr>
              <w:spacing w:after="0"/>
            </w:pPr>
            <w:r>
              <w:t>ACCORDS COLLECTIFS ENTREPRISE : thème et dates…………………………………………………………………</w:t>
            </w:r>
            <w:proofErr w:type="gramStart"/>
            <w:r>
              <w:t>…….</w:t>
            </w:r>
            <w:proofErr w:type="gramEnd"/>
            <w:r>
              <w:t>……………</w:t>
            </w:r>
            <w:proofErr w:type="gramStart"/>
            <w:r>
              <w:t>…</w:t>
            </w:r>
            <w:r w:rsidR="00C74718">
              <w:t>….</w:t>
            </w:r>
            <w:proofErr w:type="gramEnd"/>
            <w:r w:rsidR="00C74718">
              <w:t>.</w:t>
            </w:r>
          </w:p>
          <w:p w14:paraId="2BF4C16C" w14:textId="68BDDD37" w:rsidR="00CD1BB0" w:rsidRDefault="00CD1BB0" w:rsidP="00CD1BB0">
            <w:pPr>
              <w:spacing w:after="0"/>
            </w:pPr>
            <w:r>
              <w:t>Lieu de consultation : ………………………… Modalités : ………………………………</w:t>
            </w:r>
            <w:proofErr w:type="gramStart"/>
            <w:r>
              <w:t>…….</w:t>
            </w:r>
            <w:proofErr w:type="gramEnd"/>
            <w:r>
              <w:t>.</w:t>
            </w:r>
          </w:p>
          <w:p w14:paraId="4D68E632" w14:textId="523477AA" w:rsidR="00CD1BB0" w:rsidRDefault="00CD1BB0" w:rsidP="00CD1BB0">
            <w:pPr>
              <w:spacing w:after="0"/>
            </w:pPr>
            <w:r>
              <w:t>REGLEMENT INTERIEUR : Lieu de consultation : ………………………Modalités : …………………</w:t>
            </w:r>
            <w:proofErr w:type="gramStart"/>
            <w:r>
              <w:t>…….</w:t>
            </w:r>
            <w:proofErr w:type="gramEnd"/>
            <w:r>
              <w:t>.</w:t>
            </w:r>
          </w:p>
          <w:p w14:paraId="67F07A66" w14:textId="45552723" w:rsidR="00CD1BB0" w:rsidRDefault="00CD1BB0" w:rsidP="009971ED">
            <w:pPr>
              <w:spacing w:after="0"/>
            </w:pPr>
            <w:r>
              <w:t xml:space="preserve">ORDRE DES DEPARTS EN CONGES : </w:t>
            </w:r>
            <w:r w:rsidR="009971ED">
              <w:t>cf. feuille annexée ci-jointe</w:t>
            </w:r>
          </w:p>
          <w:p w14:paraId="0FB4DDA2" w14:textId="55ADB6CC" w:rsidR="00582491" w:rsidRDefault="00CD1BB0" w:rsidP="00CD1BB0">
            <w:pPr>
              <w:spacing w:after="0"/>
            </w:pPr>
            <w:r>
              <w:t xml:space="preserve">HORAIRES COLLECTIFS DE TRAVAIL : </w:t>
            </w:r>
          </w:p>
          <w:tbl>
            <w:tblPr>
              <w:tblStyle w:val="Grilledutableau"/>
              <w:tblW w:w="0" w:type="auto"/>
              <w:tblLook w:val="04A0" w:firstRow="1" w:lastRow="0" w:firstColumn="1" w:lastColumn="0" w:noHBand="0" w:noVBand="1"/>
            </w:tblPr>
            <w:tblGrid>
              <w:gridCol w:w="3273"/>
              <w:gridCol w:w="3273"/>
              <w:gridCol w:w="3273"/>
              <w:gridCol w:w="3274"/>
            </w:tblGrid>
            <w:tr w:rsidR="00582491" w14:paraId="224F0F8C" w14:textId="77777777" w:rsidTr="00582491">
              <w:tc>
                <w:tcPr>
                  <w:tcW w:w="3273" w:type="dxa"/>
                </w:tcPr>
                <w:p w14:paraId="1FEEAA0C" w14:textId="492E90C2" w:rsidR="00582491" w:rsidRDefault="00582491" w:rsidP="00DD684E">
                  <w:pPr>
                    <w:framePr w:hSpace="141" w:wrap="around" w:vAnchor="text" w:hAnchor="margin" w:y="192"/>
                    <w:spacing w:after="0"/>
                  </w:pPr>
                  <w:r>
                    <w:t xml:space="preserve">Lundi : …h - </w:t>
                  </w:r>
                  <w:proofErr w:type="gramStart"/>
                  <w:r>
                    <w:t>…….</w:t>
                  </w:r>
                  <w:proofErr w:type="gramEnd"/>
                  <w:r>
                    <w:t xml:space="preserve">.h </w:t>
                  </w:r>
                </w:p>
              </w:tc>
              <w:tc>
                <w:tcPr>
                  <w:tcW w:w="3273" w:type="dxa"/>
                </w:tcPr>
                <w:p w14:paraId="21FE4BBA" w14:textId="2E75BC6D" w:rsidR="00582491" w:rsidRDefault="00582491" w:rsidP="00DD684E">
                  <w:pPr>
                    <w:framePr w:hSpace="141" w:wrap="around" w:vAnchor="text" w:hAnchor="margin" w:y="192"/>
                    <w:spacing w:after="0"/>
                  </w:pPr>
                  <w:r>
                    <w:t xml:space="preserve">Mardi : : …h - </w:t>
                  </w:r>
                  <w:proofErr w:type="gramStart"/>
                  <w:r>
                    <w:t>…….</w:t>
                  </w:r>
                  <w:proofErr w:type="gramEnd"/>
                  <w:r>
                    <w:t>.h</w:t>
                  </w:r>
                </w:p>
              </w:tc>
              <w:tc>
                <w:tcPr>
                  <w:tcW w:w="3273" w:type="dxa"/>
                </w:tcPr>
                <w:p w14:paraId="33ABEF58" w14:textId="5FD55DAD" w:rsidR="00582491" w:rsidRDefault="00582491" w:rsidP="00DD684E">
                  <w:pPr>
                    <w:framePr w:hSpace="141" w:wrap="around" w:vAnchor="text" w:hAnchor="margin" w:y="192"/>
                    <w:spacing w:after="0"/>
                  </w:pPr>
                  <w:r>
                    <w:t xml:space="preserve">Mercredi : : …h - </w:t>
                  </w:r>
                  <w:proofErr w:type="gramStart"/>
                  <w:r>
                    <w:t>…….</w:t>
                  </w:r>
                  <w:proofErr w:type="gramEnd"/>
                  <w:r>
                    <w:t>.h</w:t>
                  </w:r>
                </w:p>
              </w:tc>
              <w:tc>
                <w:tcPr>
                  <w:tcW w:w="3274" w:type="dxa"/>
                </w:tcPr>
                <w:p w14:paraId="6609D576" w14:textId="635AFCE5" w:rsidR="00582491" w:rsidRDefault="00582491" w:rsidP="00DD684E">
                  <w:pPr>
                    <w:framePr w:hSpace="141" w:wrap="around" w:vAnchor="text" w:hAnchor="margin" w:y="192"/>
                    <w:spacing w:after="0"/>
                  </w:pPr>
                  <w:r>
                    <w:t xml:space="preserve">Jeudi : : …h - </w:t>
                  </w:r>
                  <w:proofErr w:type="gramStart"/>
                  <w:r>
                    <w:t>…….</w:t>
                  </w:r>
                  <w:proofErr w:type="gramEnd"/>
                  <w:r>
                    <w:t>.h</w:t>
                  </w:r>
                </w:p>
              </w:tc>
            </w:tr>
            <w:tr w:rsidR="00582491" w14:paraId="33CE1932" w14:textId="77777777" w:rsidTr="00582491">
              <w:trPr>
                <w:gridAfter w:val="1"/>
                <w:wAfter w:w="3274" w:type="dxa"/>
              </w:trPr>
              <w:tc>
                <w:tcPr>
                  <w:tcW w:w="3273" w:type="dxa"/>
                </w:tcPr>
                <w:p w14:paraId="4E14351E" w14:textId="0EB6FFC1" w:rsidR="00582491" w:rsidRDefault="00582491" w:rsidP="00DD684E">
                  <w:pPr>
                    <w:framePr w:hSpace="141" w:wrap="around" w:vAnchor="text" w:hAnchor="margin" w:y="192"/>
                    <w:spacing w:after="0"/>
                  </w:pPr>
                  <w:r>
                    <w:t xml:space="preserve">Vendredi : : …h - </w:t>
                  </w:r>
                  <w:proofErr w:type="gramStart"/>
                  <w:r>
                    <w:t>…….</w:t>
                  </w:r>
                  <w:proofErr w:type="gramEnd"/>
                  <w:r>
                    <w:t>.h</w:t>
                  </w:r>
                </w:p>
              </w:tc>
              <w:tc>
                <w:tcPr>
                  <w:tcW w:w="3273" w:type="dxa"/>
                </w:tcPr>
                <w:p w14:paraId="78468FC5" w14:textId="5527E559" w:rsidR="00582491" w:rsidRDefault="00582491" w:rsidP="00DD684E">
                  <w:pPr>
                    <w:framePr w:hSpace="141" w:wrap="around" w:vAnchor="text" w:hAnchor="margin" w:y="192"/>
                    <w:spacing w:after="0"/>
                  </w:pPr>
                  <w:r>
                    <w:t xml:space="preserve">Samedi : …h - </w:t>
                  </w:r>
                  <w:proofErr w:type="gramStart"/>
                  <w:r>
                    <w:t>…….</w:t>
                  </w:r>
                  <w:proofErr w:type="gramEnd"/>
                  <w:r>
                    <w:t>.h</w:t>
                  </w:r>
                </w:p>
              </w:tc>
              <w:tc>
                <w:tcPr>
                  <w:tcW w:w="3273" w:type="dxa"/>
                </w:tcPr>
                <w:p w14:paraId="46066A88" w14:textId="64636AAA" w:rsidR="00582491" w:rsidRDefault="00582491" w:rsidP="00DD684E">
                  <w:pPr>
                    <w:framePr w:hSpace="141" w:wrap="around" w:vAnchor="text" w:hAnchor="margin" w:y="192"/>
                    <w:spacing w:after="0"/>
                  </w:pPr>
                  <w:r>
                    <w:t xml:space="preserve">Dimanche : : …h - </w:t>
                  </w:r>
                  <w:proofErr w:type="gramStart"/>
                  <w:r>
                    <w:t>…….</w:t>
                  </w:r>
                  <w:proofErr w:type="gramEnd"/>
                  <w:r>
                    <w:t>.h</w:t>
                  </w:r>
                </w:p>
              </w:tc>
            </w:tr>
          </w:tbl>
          <w:p w14:paraId="39435436" w14:textId="0DE2FB6C" w:rsidR="00A52828" w:rsidRDefault="00A52828" w:rsidP="00582491">
            <w:pPr>
              <w:spacing w:after="0"/>
            </w:pPr>
          </w:p>
        </w:tc>
      </w:tr>
    </w:tbl>
    <w:p w14:paraId="4C5A9F29" w14:textId="300D8877" w:rsidR="00470AE2" w:rsidRDefault="00470AE2">
      <w:pPr>
        <w:sectPr w:rsidR="00470AE2" w:rsidSect="003019D7">
          <w:pgSz w:w="23811" w:h="16838" w:orient="landscape" w:code="8"/>
          <w:pgMar w:top="720" w:right="720" w:bottom="720" w:left="720" w:header="708" w:footer="708" w:gutter="0"/>
          <w:cols w:space="708"/>
          <w:docGrid w:linePitch="360"/>
        </w:sectPr>
      </w:pPr>
    </w:p>
    <w:p w14:paraId="417EAF71" w14:textId="25A467B4" w:rsidR="00487005" w:rsidRDefault="00487005" w:rsidP="003019D7">
      <w:pPr>
        <w:spacing w:after="160" w:line="259" w:lineRule="auto"/>
      </w:pPr>
    </w:p>
    <w:tbl>
      <w:tblPr>
        <w:tblW w:w="1346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467"/>
      </w:tblGrid>
      <w:tr w:rsidR="00487005" w14:paraId="2C5206F2" w14:textId="77777777" w:rsidTr="006539CA">
        <w:trPr>
          <w:trHeight w:val="2494"/>
        </w:trPr>
        <w:tc>
          <w:tcPr>
            <w:tcW w:w="13467" w:type="dxa"/>
          </w:tcPr>
          <w:p w14:paraId="48CAF945" w14:textId="18CAB6A2" w:rsidR="00274022" w:rsidRDefault="00B23FEE" w:rsidP="00B23FEE">
            <w:pPr>
              <w:autoSpaceDE w:val="0"/>
              <w:autoSpaceDN w:val="0"/>
              <w:adjustRightInd w:val="0"/>
              <w:spacing w:after="0" w:line="240" w:lineRule="auto"/>
            </w:pPr>
            <w:r w:rsidRPr="006539CA">
              <w:rPr>
                <w:b/>
                <w:bCs/>
                <w:u w:val="single"/>
              </w:rPr>
              <w:t>CONSIGNES INCENDIES :</w:t>
            </w:r>
            <w:r>
              <w:t xml:space="preserve"> </w:t>
            </w:r>
            <w:r w:rsidR="00274022">
              <w:t>Nombre d’extincteur : ……………Localisation : ……………………………………</w:t>
            </w:r>
            <w:proofErr w:type="gramStart"/>
            <w:r w:rsidR="00274022">
              <w:t>…….</w:t>
            </w:r>
            <w:proofErr w:type="gramEnd"/>
            <w:r w:rsidR="00274022">
              <w:t>.</w:t>
            </w:r>
          </w:p>
          <w:p w14:paraId="1871E4F6" w14:textId="1DB77F3C" w:rsidR="00274022" w:rsidRPr="00274022" w:rsidRDefault="00274022" w:rsidP="00B23FEE">
            <w:pPr>
              <w:autoSpaceDE w:val="0"/>
              <w:autoSpaceDN w:val="0"/>
              <w:adjustRightInd w:val="0"/>
              <w:spacing w:after="0" w:line="240" w:lineRule="auto"/>
            </w:pPr>
            <w:r>
              <w:t>Point de rassemblement : ………………………………………………………………………………………………….</w:t>
            </w:r>
          </w:p>
          <w:p w14:paraId="2FC6DD3B" w14:textId="1B291EE4" w:rsidR="00D7620A" w:rsidRPr="00D7620A" w:rsidRDefault="00D7620A" w:rsidP="00D7620A">
            <w:pPr>
              <w:autoSpaceDE w:val="0"/>
              <w:autoSpaceDN w:val="0"/>
              <w:adjustRightInd w:val="0"/>
              <w:spacing w:after="0" w:line="240" w:lineRule="auto"/>
            </w:pPr>
            <w:r w:rsidRPr="00D7620A">
              <w:t xml:space="preserve">Responsable évacuation : </w:t>
            </w:r>
            <w:r>
              <w:t>…………</w:t>
            </w:r>
            <w:r w:rsidR="00812B78">
              <w:t>…………………… Responsable incendie : …………………………………….</w:t>
            </w:r>
          </w:p>
          <w:p w14:paraId="7CB92895" w14:textId="1F3783C5" w:rsidR="00AF5F7D" w:rsidRPr="00AF5F7D" w:rsidRDefault="00B23FEE" w:rsidP="00AF5F7D">
            <w:pPr>
              <w:autoSpaceDE w:val="0"/>
              <w:autoSpaceDN w:val="0"/>
              <w:adjustRightInd w:val="0"/>
              <w:spacing w:after="0" w:line="240" w:lineRule="auto"/>
              <w:jc w:val="both"/>
              <w:rPr>
                <w:rFonts w:eastAsia="Calibri" w:cs="Arial"/>
                <w:sz w:val="16"/>
                <w:szCs w:val="16"/>
              </w:rPr>
            </w:pPr>
            <w:r w:rsidRPr="00AF5F7D">
              <w:rPr>
                <w:rFonts w:eastAsia="Calibri" w:cs="Arial"/>
                <w:color w:val="FF0000"/>
                <w:sz w:val="16"/>
                <w:szCs w:val="16"/>
              </w:rPr>
              <w:t>Lorsque l’alarme incendie émet, sortez sans délai et appelez les pompiers à partir d'un endroit sûr</w:t>
            </w:r>
            <w:r w:rsidR="00AF5F7D" w:rsidRPr="00AF5F7D">
              <w:rPr>
                <w:rFonts w:eastAsia="Calibri" w:cs="Arial"/>
                <w:sz w:val="16"/>
                <w:szCs w:val="16"/>
              </w:rPr>
              <w:t xml:space="preserve"> </w:t>
            </w:r>
            <w:r w:rsidR="00AF5F7D">
              <w:rPr>
                <w:rFonts w:eastAsia="Calibri" w:cs="Arial"/>
                <w:sz w:val="16"/>
                <w:szCs w:val="16"/>
              </w:rPr>
              <w:t>et transmettez</w:t>
            </w:r>
            <w:r w:rsidR="00AF5F7D" w:rsidRPr="00AF5F7D">
              <w:rPr>
                <w:rFonts w:eastAsia="Calibri" w:cs="Arial"/>
                <w:sz w:val="16"/>
                <w:szCs w:val="16"/>
              </w:rPr>
              <w:t xml:space="preserve"> les informations adéquates</w:t>
            </w:r>
            <w:r w:rsidRPr="00AF5F7D">
              <w:rPr>
                <w:rFonts w:eastAsia="Calibri" w:cs="Arial"/>
                <w:sz w:val="16"/>
                <w:szCs w:val="16"/>
              </w:rPr>
              <w:t>. Assurez-vous que tous les occupants ont bien évacué le bâtiment.</w:t>
            </w:r>
            <w:r w:rsidR="00AF5F7D">
              <w:rPr>
                <w:rFonts w:eastAsia="Calibri" w:cs="Arial"/>
                <w:sz w:val="16"/>
                <w:szCs w:val="16"/>
              </w:rPr>
              <w:t xml:space="preserve"> </w:t>
            </w:r>
            <w:r w:rsidRPr="00AF5F7D">
              <w:rPr>
                <w:rFonts w:eastAsia="Calibri" w:cs="Arial"/>
                <w:sz w:val="16"/>
                <w:szCs w:val="16"/>
              </w:rPr>
              <w:t xml:space="preserve">Alertez les occupants de tout l’immeuble ; </w:t>
            </w:r>
            <w:r w:rsidRPr="00AF5F7D">
              <w:rPr>
                <w:rFonts w:eastAsia="Calibri" w:cs="Arial"/>
                <w:color w:val="FF0000"/>
                <w:sz w:val="16"/>
                <w:szCs w:val="16"/>
              </w:rPr>
              <w:t xml:space="preserve">Evacuez </w:t>
            </w:r>
            <w:r w:rsidR="00AF5F7D" w:rsidRPr="00AF5F7D">
              <w:rPr>
                <w:rFonts w:eastAsia="Calibri" w:cs="Arial"/>
                <w:color w:val="FF0000"/>
                <w:sz w:val="16"/>
                <w:szCs w:val="16"/>
              </w:rPr>
              <w:t>et dirigez-vous vers la sortie de secours la plus proche</w:t>
            </w:r>
            <w:r w:rsidR="00AF5F7D" w:rsidRPr="00AF5F7D">
              <w:rPr>
                <w:rFonts w:eastAsia="Calibri" w:cs="Arial"/>
                <w:sz w:val="16"/>
                <w:szCs w:val="16"/>
              </w:rPr>
              <w:t>.</w:t>
            </w:r>
          </w:p>
          <w:p w14:paraId="1492007B" w14:textId="64DE142F" w:rsidR="00B23FEE" w:rsidRPr="00AF5F7D" w:rsidRDefault="00B23FEE" w:rsidP="00AF5F7D">
            <w:pPr>
              <w:autoSpaceDE w:val="0"/>
              <w:autoSpaceDN w:val="0"/>
              <w:adjustRightInd w:val="0"/>
              <w:spacing w:after="0" w:line="240" w:lineRule="auto"/>
              <w:rPr>
                <w:rFonts w:eastAsia="Calibri" w:cs="Arial"/>
                <w:sz w:val="16"/>
                <w:szCs w:val="16"/>
              </w:rPr>
            </w:pPr>
            <w:proofErr w:type="gramStart"/>
            <w:r w:rsidRPr="00AF5F7D">
              <w:rPr>
                <w:rFonts w:eastAsia="Calibri" w:cs="Arial"/>
                <w:color w:val="FF0000"/>
                <w:sz w:val="16"/>
                <w:szCs w:val="16"/>
              </w:rPr>
              <w:t>et</w:t>
            </w:r>
            <w:proofErr w:type="gramEnd"/>
            <w:r w:rsidRPr="00AF5F7D">
              <w:rPr>
                <w:rFonts w:eastAsia="Calibri" w:cs="Arial"/>
                <w:color w:val="FF0000"/>
                <w:sz w:val="16"/>
                <w:szCs w:val="16"/>
              </w:rPr>
              <w:t xml:space="preserve"> rendez-vous sur le lieu de rassemblement prévu</w:t>
            </w:r>
            <w:r w:rsidRPr="00AF5F7D">
              <w:rPr>
                <w:rFonts w:eastAsia="Calibri" w:cs="Arial"/>
                <w:sz w:val="16"/>
                <w:szCs w:val="16"/>
              </w:rPr>
              <w:t xml:space="preserve">. </w:t>
            </w:r>
            <w:r w:rsidR="00AF5F7D" w:rsidRPr="00AF5F7D">
              <w:rPr>
                <w:rFonts w:eastAsia="Calibri" w:cs="Arial"/>
                <w:sz w:val="16"/>
                <w:szCs w:val="16"/>
              </w:rPr>
              <w:t>N</w:t>
            </w:r>
            <w:r w:rsidR="00AF5F7D">
              <w:rPr>
                <w:rFonts w:eastAsia="Calibri" w:cs="Arial"/>
                <w:sz w:val="16"/>
                <w:szCs w:val="16"/>
              </w:rPr>
              <w:t>’</w:t>
            </w:r>
            <w:r w:rsidR="00AF5F7D" w:rsidRPr="00AF5F7D">
              <w:rPr>
                <w:rFonts w:eastAsia="Calibri" w:cs="Arial"/>
                <w:sz w:val="16"/>
                <w:szCs w:val="16"/>
              </w:rPr>
              <w:t>emprunte</w:t>
            </w:r>
            <w:r w:rsidR="00AF5F7D">
              <w:rPr>
                <w:rFonts w:eastAsia="Calibri" w:cs="Arial"/>
                <w:sz w:val="16"/>
                <w:szCs w:val="16"/>
              </w:rPr>
              <w:t>z pas</w:t>
            </w:r>
            <w:r w:rsidR="00AF5F7D" w:rsidRPr="00AF5F7D">
              <w:rPr>
                <w:rFonts w:eastAsia="Calibri" w:cs="Arial"/>
                <w:sz w:val="16"/>
                <w:szCs w:val="16"/>
              </w:rPr>
              <w:t xml:space="preserve"> les ascenseurs</w:t>
            </w:r>
            <w:r w:rsidR="00AF5F7D">
              <w:rPr>
                <w:rFonts w:eastAsia="Calibri" w:cs="Arial"/>
                <w:sz w:val="16"/>
                <w:szCs w:val="16"/>
              </w:rPr>
              <w:t>.</w:t>
            </w:r>
            <w:r w:rsidR="00AF5F7D" w:rsidRPr="00AF5F7D">
              <w:rPr>
                <w:rFonts w:eastAsia="Calibri" w:cs="Arial"/>
                <w:sz w:val="16"/>
                <w:szCs w:val="16"/>
              </w:rPr>
              <w:t xml:space="preserve"> </w:t>
            </w:r>
            <w:r w:rsidRPr="00AF5F7D">
              <w:rPr>
                <w:rFonts w:eastAsia="Calibri" w:cs="Arial"/>
                <w:sz w:val="16"/>
                <w:szCs w:val="16"/>
              </w:rPr>
              <w:t>Assurez-vous qu'il ne manque personne et que les locaux ont été complètement évacués</w:t>
            </w:r>
            <w:r w:rsidR="00AF5F7D">
              <w:rPr>
                <w:rFonts w:eastAsia="Calibri" w:cs="Arial"/>
                <w:sz w:val="16"/>
                <w:szCs w:val="16"/>
              </w:rPr>
              <w:t>, si une personne manque</w:t>
            </w:r>
            <w:r w:rsidR="00AF5F7D" w:rsidRPr="00AF5F7D">
              <w:rPr>
                <w:rFonts w:eastAsia="Calibri" w:cs="Arial"/>
                <w:sz w:val="16"/>
                <w:szCs w:val="16"/>
              </w:rPr>
              <w:t xml:space="preserve"> attendez les secours et informez-les de cette disparition.</w:t>
            </w:r>
          </w:p>
          <w:p w14:paraId="2FDC87C5" w14:textId="1F797D8F" w:rsidR="00AF5F7D" w:rsidRPr="00AF5F7D" w:rsidRDefault="00B23FEE" w:rsidP="00AF5F7D">
            <w:pPr>
              <w:autoSpaceDE w:val="0"/>
              <w:autoSpaceDN w:val="0"/>
              <w:adjustRightInd w:val="0"/>
              <w:spacing w:after="0" w:line="240" w:lineRule="auto"/>
              <w:jc w:val="both"/>
              <w:rPr>
                <w:rFonts w:eastAsia="Calibri" w:cs="Arial"/>
                <w:color w:val="FF0000"/>
                <w:sz w:val="16"/>
                <w:szCs w:val="16"/>
              </w:rPr>
            </w:pPr>
            <w:r w:rsidRPr="00AF5F7D">
              <w:rPr>
                <w:rFonts w:eastAsia="Calibri" w:cs="Arial"/>
                <w:color w:val="FF0000"/>
                <w:sz w:val="16"/>
                <w:szCs w:val="16"/>
              </w:rPr>
              <w:t xml:space="preserve">Si vous décidez de lutter contre l'incendie, ne mettez jamais votre vie en </w:t>
            </w:r>
            <w:r w:rsidR="00AF5F7D" w:rsidRPr="00AF5F7D">
              <w:rPr>
                <w:rFonts w:eastAsia="Calibri" w:cs="Arial"/>
                <w:color w:val="FF0000"/>
                <w:sz w:val="16"/>
                <w:szCs w:val="16"/>
              </w:rPr>
              <w:t>danger.</w:t>
            </w:r>
            <w:r w:rsidRPr="00AF5F7D">
              <w:rPr>
                <w:rFonts w:eastAsia="Calibri" w:cs="Arial"/>
                <w:color w:val="FF0000"/>
                <w:sz w:val="16"/>
                <w:szCs w:val="16"/>
              </w:rPr>
              <w:t xml:space="preserve"> </w:t>
            </w:r>
          </w:p>
          <w:p w14:paraId="64F011C3" w14:textId="2E13276F" w:rsidR="00B23FEE" w:rsidRPr="00AF5F7D" w:rsidRDefault="00B23FEE" w:rsidP="00274022">
            <w:pPr>
              <w:autoSpaceDE w:val="0"/>
              <w:autoSpaceDN w:val="0"/>
              <w:adjustRightInd w:val="0"/>
              <w:spacing w:after="0" w:line="240" w:lineRule="auto"/>
              <w:ind w:right="-357"/>
              <w:jc w:val="both"/>
              <w:rPr>
                <w:rFonts w:eastAsia="Calibri" w:cs="Arial"/>
                <w:sz w:val="16"/>
                <w:szCs w:val="16"/>
              </w:rPr>
            </w:pPr>
            <w:r w:rsidRPr="00AF5F7D">
              <w:rPr>
                <w:rFonts w:eastAsia="Calibri" w:cs="Arial"/>
                <w:sz w:val="16"/>
                <w:szCs w:val="16"/>
              </w:rPr>
              <w:t>Avant d'ouvrir une porte, touchez-là, avec le dos de la main : si elle est brûlante, ne l'ouvrez pas. Utilisez un autre itinéraire de sortie.</w:t>
            </w:r>
          </w:p>
          <w:p w14:paraId="69C0687C" w14:textId="01CC0A77" w:rsidR="00B23FEE" w:rsidRPr="00AF5F7D" w:rsidRDefault="00B23FEE" w:rsidP="00B23FEE">
            <w:pPr>
              <w:autoSpaceDE w:val="0"/>
              <w:autoSpaceDN w:val="0"/>
              <w:adjustRightInd w:val="0"/>
              <w:spacing w:after="0" w:line="240" w:lineRule="auto"/>
              <w:jc w:val="both"/>
              <w:rPr>
                <w:rFonts w:eastAsia="Calibri" w:cs="Arial"/>
                <w:sz w:val="16"/>
                <w:szCs w:val="16"/>
              </w:rPr>
            </w:pPr>
            <w:r w:rsidRPr="00AF5F7D">
              <w:rPr>
                <w:rFonts w:eastAsia="Calibri" w:cs="Arial"/>
                <w:sz w:val="16"/>
                <w:szCs w:val="16"/>
              </w:rPr>
              <w:t xml:space="preserve">Fermez la porte de secours derrière </w:t>
            </w:r>
            <w:r w:rsidR="00AF5F7D" w:rsidRPr="00AF5F7D">
              <w:rPr>
                <w:rFonts w:eastAsia="Calibri" w:cs="Arial"/>
                <w:sz w:val="16"/>
                <w:szCs w:val="16"/>
              </w:rPr>
              <w:t>vous ;</w:t>
            </w:r>
            <w:r w:rsidRPr="00AF5F7D">
              <w:rPr>
                <w:rFonts w:eastAsia="Calibri" w:cs="Arial"/>
                <w:sz w:val="16"/>
                <w:szCs w:val="16"/>
              </w:rPr>
              <w:t xml:space="preserve"> les portes ralentissent la progression de l'incendie.</w:t>
            </w:r>
          </w:p>
          <w:p w14:paraId="62E2A7F3" w14:textId="12D28781" w:rsidR="00487005" w:rsidRPr="00AF5F7D" w:rsidRDefault="00B23FEE" w:rsidP="00274022">
            <w:pPr>
              <w:autoSpaceDE w:val="0"/>
              <w:autoSpaceDN w:val="0"/>
              <w:adjustRightInd w:val="0"/>
              <w:spacing w:after="0" w:line="240" w:lineRule="auto"/>
              <w:jc w:val="both"/>
              <w:rPr>
                <w:rFonts w:eastAsia="Calibri" w:cs="Arial"/>
                <w:sz w:val="16"/>
                <w:szCs w:val="16"/>
              </w:rPr>
            </w:pPr>
            <w:r w:rsidRPr="00AF5F7D">
              <w:rPr>
                <w:rFonts w:eastAsia="Calibri" w:cs="Arial"/>
                <w:sz w:val="16"/>
                <w:szCs w:val="16"/>
              </w:rPr>
              <w:t>L'air frais se trouve au niveau du sol : baissez-vous pour ne pas inhaler de la fumée</w:t>
            </w:r>
            <w:r w:rsidR="00274022" w:rsidRPr="00AF5F7D">
              <w:rPr>
                <w:rFonts w:eastAsia="Calibri" w:cs="Arial"/>
                <w:sz w:val="16"/>
                <w:szCs w:val="16"/>
              </w:rPr>
              <w:t>.</w:t>
            </w:r>
          </w:p>
        </w:tc>
      </w:tr>
    </w:tbl>
    <w:tbl>
      <w:tblPr>
        <w:tblpPr w:leftFromText="141" w:rightFromText="141" w:vertAnchor="page" w:horzAnchor="page" w:tblpX="14450" w:tblpY="7201"/>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359"/>
      </w:tblGrid>
      <w:tr w:rsidR="00CB3E02" w14:paraId="05A9A0A3" w14:textId="77777777" w:rsidTr="006539CA">
        <w:trPr>
          <w:trHeight w:val="9354"/>
        </w:trPr>
        <w:tc>
          <w:tcPr>
            <w:tcW w:w="8359" w:type="dxa"/>
          </w:tcPr>
          <w:p w14:paraId="777E16C8" w14:textId="70731EBB" w:rsidR="00CB3E02" w:rsidRPr="002F03C7" w:rsidRDefault="00E553DE" w:rsidP="002F03C7">
            <w:pPr>
              <w:spacing w:after="160" w:line="259" w:lineRule="auto"/>
              <w:jc w:val="center"/>
              <w:rPr>
                <w:b/>
                <w:bCs/>
              </w:rPr>
            </w:pPr>
            <w:r w:rsidRPr="00D81C5B">
              <w:rPr>
                <w:b/>
                <w:bCs/>
              </w:rPr>
              <w:t xml:space="preserve">LUTTE CONTRE LES DISCRIMINATIONS ET LE HARCELEMENT </w:t>
            </w:r>
            <w:r w:rsidR="00274022" w:rsidRPr="00D81C5B">
              <w:rPr>
                <w:b/>
                <w:bCs/>
              </w:rPr>
              <w:t>– Code Pénal</w:t>
            </w:r>
          </w:p>
          <w:p w14:paraId="78C88FD5" w14:textId="3E841EBD" w:rsidR="00B8776B" w:rsidRPr="00B8776B" w:rsidRDefault="00D5786B" w:rsidP="00B8776B">
            <w:pPr>
              <w:spacing w:after="160" w:line="259" w:lineRule="auto"/>
              <w:jc w:val="both"/>
              <w:rPr>
                <w:sz w:val="14"/>
                <w:szCs w:val="14"/>
              </w:rPr>
            </w:pPr>
            <w:r w:rsidRPr="00D5786B">
              <w:rPr>
                <w:b/>
                <w:bCs/>
                <w:sz w:val="14"/>
                <w:szCs w:val="14"/>
              </w:rPr>
              <w:t>Article 225-1</w:t>
            </w:r>
            <w:r w:rsidRPr="00D5786B">
              <w:rPr>
                <w:sz w:val="14"/>
                <w:szCs w:val="14"/>
              </w:rPr>
              <w:t xml:space="preserve"> </w:t>
            </w:r>
            <w:r w:rsidR="00B8776B" w:rsidRPr="00B8776B">
              <w:rPr>
                <w:sz w:val="14"/>
                <w:szCs w:val="14"/>
              </w:rPr>
              <w:t>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qualité de lanceur d'alerte, de facilitateur ou de personne en lien avec un lanceur d'alerte au sens, respectivement, du I de l'article 6 et des 1° et 2° de l'article 6-1 de la loi n° 2016-1691 du 9 décembre 2016 relative à la transparence, à la lutte contre la corruption et à la modernisation de la vie économique, de leur capacité à s'exprimer dans une langue autre que le français, de leur appartenance ou de leur non-appartenance, vraie ou supposée, à une ethnie, une Nation, une prétendue race ou une religion déterminée.</w:t>
            </w:r>
            <w:r w:rsidR="00B8776B">
              <w:rPr>
                <w:sz w:val="14"/>
                <w:szCs w:val="14"/>
              </w:rPr>
              <w:t xml:space="preserve"> </w:t>
            </w:r>
            <w:r w:rsidR="00B8776B" w:rsidRPr="00B8776B">
              <w:rPr>
                <w:sz w:val="14"/>
                <w:szCs w:val="14"/>
              </w:rPr>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1° et 2° de l'article 6-1 de la loi n° 2016-1691 du 9 décembre 2016 précitée, de la capacité à s'exprimer dans une langue autre que le français, de l'appartenance ou de la non-appartenance, vraie ou supposée, à une ethnie, une Nation, une prétendue race ou une religion déterminée des membres ou de certains membres de ces personnes morales.</w:t>
            </w:r>
          </w:p>
          <w:p w14:paraId="56A150E7" w14:textId="3FEF83A2" w:rsidR="00E553DE" w:rsidRDefault="00D5786B" w:rsidP="00B23FEE">
            <w:pPr>
              <w:spacing w:after="160" w:line="259" w:lineRule="auto"/>
              <w:jc w:val="both"/>
            </w:pPr>
            <w:r w:rsidRPr="00D5786B">
              <w:rPr>
                <w:sz w:val="14"/>
                <w:szCs w:val="14"/>
              </w:rPr>
              <w:t xml:space="preserve">. </w:t>
            </w:r>
            <w:r w:rsidRPr="00D5786B">
              <w:rPr>
                <w:b/>
                <w:bCs/>
                <w:sz w:val="14"/>
                <w:szCs w:val="14"/>
              </w:rPr>
              <w:t>Article 225-1-1</w:t>
            </w:r>
            <w:r w:rsidRPr="00D5786B">
              <w:rPr>
                <w:sz w:val="14"/>
                <w:szCs w:val="14"/>
              </w:rPr>
              <w:t xml:space="preserve"> Constitue une discrimination toute distinction opérée entre les personnes parce qu'elles ont subi ou refusé de subir des faits de harcèlement sexuel tels que définis à l'article 222-33ou témoigné de tels faits, y compris, dans le cas mentionné au I du même article, si les propos ou comportements n'ont pas été répétés. </w:t>
            </w:r>
            <w:r w:rsidRPr="00D5786B">
              <w:rPr>
                <w:b/>
                <w:bCs/>
                <w:sz w:val="14"/>
                <w:szCs w:val="14"/>
              </w:rPr>
              <w:t xml:space="preserve">Article 225-1-2 </w:t>
            </w:r>
            <w:r w:rsidRPr="00D5786B">
              <w:rPr>
                <w:sz w:val="14"/>
                <w:szCs w:val="14"/>
              </w:rPr>
              <w:t xml:space="preserve">Constitue une discrimination toute distinction opérée entre les personnes parce qu'elles ont subi ou refusé de subir des faits de bizutage définis à l'article 225-16-1 ou témoigné de tels faits. </w:t>
            </w:r>
            <w:r w:rsidRPr="00D5786B">
              <w:rPr>
                <w:b/>
                <w:bCs/>
                <w:sz w:val="14"/>
                <w:szCs w:val="14"/>
              </w:rPr>
              <w:t xml:space="preserve">Article 225-2 </w:t>
            </w:r>
            <w:r w:rsidRPr="00D5786B">
              <w:rPr>
                <w:sz w:val="14"/>
                <w:szCs w:val="14"/>
              </w:rPr>
              <w:t xml:space="preserve">La discrimination définie aux articles 225-1 à 225-1-2, commise à l'égard d'une personne physique ou morale, est punie de trois ans d'emprisonnement et de 45 000 euros d'amende lorsqu'elle consiste :1° A refuser la fourniture d'un bien ou d'un service ; 2° A entraver l'exercice normal d'une activité économique quelconque ; 3° A refuser d'embaucher, à sanctionner ou à licencier une personne ; 4° A subordonner la fourniture d'un bien ou d'un service à une condition fondée sur l'un des éléments visés à l'article 225-1 ou prévue à aux articles 225-1-1 ou 225-1-2 ; 5° A subordonner une offre d'emploi, une demande de stage ou une période de formation en entreprise à une condition fondée sur l'un des éléments visés à l'article 225-1 ou prévue aux articles 225-1-1 ou 225-1-2 ; 6° A refuser d'accepter une personne à l'un des stages visés par le 2° de l'article L. 412-8 du code de la sécurité sociale. Lorsque le refus discriminatoire prévu au 1° est commis dans un lieu accueillant du public ou aux fins d'en interdire l'accès, les peines sont portées à cinq ans d'emprisonnement et à 75 000 euros d'amende. </w:t>
            </w:r>
            <w:r w:rsidRPr="00D5786B">
              <w:rPr>
                <w:b/>
                <w:bCs/>
                <w:sz w:val="14"/>
                <w:szCs w:val="14"/>
              </w:rPr>
              <w:t xml:space="preserve">Article 225-3 </w:t>
            </w:r>
            <w:r w:rsidRPr="00D5786B">
              <w:rPr>
                <w:sz w:val="14"/>
                <w:szCs w:val="14"/>
              </w:rPr>
              <w:t>Les dispositions de l'article précédent ne sont pas applicables : 1° Aux discriminations fondées sur l'état de santé, lorsqu'elles consistent en des opérations ayant pour objet la prévention et la couverture du risque décès, des risques portant atteinte à l'intégrité physique de la personne ou des risques d'incapacité de travail ou d'invalidité. Toutefois, ces discriminations sont punies des peines prévues à l'article précédent lorsqu'elles se fondent sur la prise en compte de tests génétiques prédictifs ayant pour objet une maladie qui n'est pas encore déclarée ou une prédisposition génétique à une maladie ou qu'elles se fondent sur la prise en compte des conséquences sur l'état de santé d'un prélèvement d'organe tel que défini à l'article L. 1231-1 du code de la santé publique ; 2° Aux discriminations fondées sur l'état de santé ou le handicap, lorsqu'elles consistent en un refus d'embauche ou un licenciement fondé sur l'inaptitude médicalement constatée soit dans le cadre du titre IV du livre II du code du travail, soit dans le cadre des lois portant dispositions statutaires relatives à la fonction publique ; 3° Aux discriminations fondées, en matière</w:t>
            </w:r>
            <w:r w:rsidRPr="00D5786B">
              <w:t xml:space="preserve"> </w:t>
            </w:r>
            <w:r w:rsidRPr="00D5786B">
              <w:rPr>
                <w:sz w:val="14"/>
                <w:szCs w:val="14"/>
              </w:rPr>
              <w:t>d'embauche, sur un motif mentionné à l'article 225-1 du présent code, lorsqu'un tel motif constitue une exigence professionnelle essentielle et déterminante et pour autant que l'objectif soit légitime et l'exigence proportionnée ; 4° Aux discriminations fondées, en matière d'accès aux biens et services, sur le sexe lorsque cette discrimination est justifiée par la protection des victimes de violences à caractère sexuel, des considérations liées au respect de la vie privée et de la décence, la promotion de l'égalité des sexes ou des intérêts des hommes ou des femmes, la liberté d'association ou l'organisation d'activités sportives ; 5° Aux refus d'embauche fondés sur la nationalité lorsqu'ils résultent de l'application des dispositions statutaires relatives à la fonction publique ; 6° Aux discriminations liées au lieu de résidence lorsque la personne chargée de la fourniture d'un bien ou service se trouve en situation de danger manifeste. Les mesures prises en faveur</w:t>
            </w:r>
            <w:r w:rsidRPr="00D5786B">
              <w:t xml:space="preserve"> </w:t>
            </w:r>
            <w:r w:rsidRPr="00D5786B">
              <w:rPr>
                <w:sz w:val="14"/>
                <w:szCs w:val="14"/>
              </w:rPr>
              <w:t xml:space="preserve">des personnes résidant dans certaines zones géographiques et visant à favoriser l'égalité de traitement ne constituent pas une discrimination. </w:t>
            </w:r>
            <w:r w:rsidRPr="00D5786B">
              <w:rPr>
                <w:b/>
                <w:bCs/>
                <w:sz w:val="14"/>
                <w:szCs w:val="14"/>
              </w:rPr>
              <w:t xml:space="preserve">Article 225-3-1 </w:t>
            </w:r>
            <w:r w:rsidRPr="00D5786B">
              <w:rPr>
                <w:sz w:val="14"/>
                <w:szCs w:val="14"/>
              </w:rPr>
              <w:t xml:space="preserve">Les délits prévus par la présente section sont constitués même s'ils sont commis à l'encontre d'une ou plusieurs personnes ayant sollicité l'un des biens, actes, services ou contrats mentionnés à l'article 225-2 dans le but de démontrer l'existence du comportement discriminatoire, dès lors que la preuve de ce comportement est établie. </w:t>
            </w:r>
            <w:r w:rsidRPr="00D5786B">
              <w:rPr>
                <w:b/>
                <w:bCs/>
                <w:sz w:val="14"/>
                <w:szCs w:val="14"/>
              </w:rPr>
              <w:t xml:space="preserve">Article 225-4 </w:t>
            </w:r>
            <w:r w:rsidRPr="00D5786B">
              <w:rPr>
                <w:sz w:val="14"/>
                <w:szCs w:val="14"/>
              </w:rPr>
              <w:t>Les personnes morales déclarées responsables pénalement, dans les conditions prévues par l'article 121-2, des infractions définies à l'article 225-2 encourent, outre l'amende suivant les modalités prévues par l'article 131-38, les peines prévues par les 2° à 5°, 8° et 9° de l'article 131-39. L'interdiction mentionnée au 2° de l'article 131-39 porte sur l'activité dans l'exercice ou à l'occasion de l'exercice de laquelle l'infraction a été commise.</w:t>
            </w:r>
          </w:p>
        </w:tc>
      </w:tr>
    </w:tbl>
    <w:p w14:paraId="20C8A4A4" w14:textId="1AA5E153" w:rsidR="00487005" w:rsidRDefault="00DD684E" w:rsidP="002F03C7">
      <w:pPr>
        <w:spacing w:after="0" w:line="259" w:lineRule="auto"/>
      </w:pPr>
      <w:r>
        <w:rPr>
          <w:b/>
          <w:bCs/>
          <w:noProof/>
          <w:u w:val="single"/>
        </w:rPr>
        <w:drawing>
          <wp:anchor distT="0" distB="0" distL="114300" distR="114300" simplePos="0" relativeHeight="251660288" behindDoc="0" locked="0" layoutInCell="1" allowOverlap="1" wp14:anchorId="1B4EE63D" wp14:editId="33CFC061">
            <wp:simplePos x="0" y="0"/>
            <wp:positionH relativeFrom="margin">
              <wp:posOffset>7888605</wp:posOffset>
            </wp:positionH>
            <wp:positionV relativeFrom="paragraph">
              <wp:posOffset>3722370</wp:posOffset>
            </wp:positionV>
            <wp:extent cx="771525" cy="771525"/>
            <wp:effectExtent l="0" t="0" r="9525" b="0"/>
            <wp:wrapNone/>
            <wp:docPr id="1509363193" name="Image 4" descr="logo SD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SDI.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Grilledutableau"/>
        <w:tblW w:w="13467" w:type="dxa"/>
        <w:tblInd w:w="-714" w:type="dxa"/>
        <w:tblLook w:val="04A0" w:firstRow="1" w:lastRow="0" w:firstColumn="1" w:lastColumn="0" w:noHBand="0" w:noVBand="1"/>
      </w:tblPr>
      <w:tblGrid>
        <w:gridCol w:w="13467"/>
      </w:tblGrid>
      <w:tr w:rsidR="00A52828" w14:paraId="247BBEA5" w14:textId="77777777" w:rsidTr="00C74718">
        <w:trPr>
          <w:trHeight w:val="5608"/>
        </w:trPr>
        <w:tc>
          <w:tcPr>
            <w:tcW w:w="13467" w:type="dxa"/>
          </w:tcPr>
          <w:p w14:paraId="6F1EADF0" w14:textId="35627455" w:rsidR="00274022" w:rsidRPr="002F03C7" w:rsidRDefault="00274022" w:rsidP="002F03C7">
            <w:pPr>
              <w:spacing w:after="160" w:line="259" w:lineRule="auto"/>
              <w:jc w:val="center"/>
              <w:rPr>
                <w:b/>
                <w:bCs/>
              </w:rPr>
            </w:pPr>
            <w:r w:rsidRPr="002F03C7">
              <w:rPr>
                <w:b/>
                <w:bCs/>
              </w:rPr>
              <w:t>LUTTE CONTRE LES DISCRIMINATIONS ET LE HARCELEMENT – Code du Travail</w:t>
            </w:r>
          </w:p>
          <w:p w14:paraId="1DAA2C8C" w14:textId="49D87AE1" w:rsidR="00A52828" w:rsidRPr="00EA4C85" w:rsidRDefault="00274022" w:rsidP="00EA4C85">
            <w:pPr>
              <w:pStyle w:val="NormalWeb"/>
              <w:spacing w:before="0" w:beforeAutospacing="0" w:after="0" w:afterAutospacing="0"/>
              <w:rPr>
                <w:rFonts w:ascii="Arial" w:hAnsi="Arial" w:cs="Arial"/>
                <w:i/>
                <w:iCs/>
                <w:sz w:val="14"/>
                <w:szCs w:val="14"/>
              </w:rPr>
            </w:pPr>
            <w:r w:rsidRPr="002F03C7">
              <w:rPr>
                <w:rFonts w:cs="Arial"/>
                <w:b/>
                <w:bCs/>
                <w:sz w:val="14"/>
                <w:szCs w:val="14"/>
              </w:rPr>
              <w:t>Article L1151-</w:t>
            </w:r>
            <w:proofErr w:type="gramStart"/>
            <w:r w:rsidRPr="002F03C7">
              <w:rPr>
                <w:rFonts w:cs="Arial"/>
                <w:b/>
                <w:bCs/>
                <w:sz w:val="14"/>
                <w:szCs w:val="14"/>
              </w:rPr>
              <w:t>1</w:t>
            </w:r>
            <w:r w:rsidRPr="002F03C7">
              <w:rPr>
                <w:rFonts w:cs="Arial"/>
                <w:sz w:val="14"/>
                <w:szCs w:val="14"/>
              </w:rPr>
              <w:t xml:space="preserve">  Les</w:t>
            </w:r>
            <w:proofErr w:type="gramEnd"/>
            <w:r w:rsidRPr="002F03C7">
              <w:rPr>
                <w:rFonts w:cs="Arial"/>
                <w:sz w:val="14"/>
                <w:szCs w:val="14"/>
              </w:rPr>
              <w:t xml:space="preserve"> dispositions du présent titre sont applicables aux employeurs de droit privé ainsi qu'à leurs salariés. Elles sont également applicables au personnel des personnes publiques employé dans les conditions du droit privé</w:t>
            </w:r>
            <w:r w:rsidRPr="002F03C7">
              <w:rPr>
                <w:rFonts w:cs="Arial"/>
                <w:b/>
                <w:bCs/>
                <w:sz w:val="14"/>
                <w:szCs w:val="14"/>
              </w:rPr>
              <w:t>. Article L1152-1</w:t>
            </w:r>
            <w:r w:rsidRPr="002F03C7">
              <w:rPr>
                <w:rFonts w:cs="Arial"/>
                <w:sz w:val="14"/>
                <w:szCs w:val="14"/>
              </w:rPr>
              <w:t xml:space="preserve"> Aucun salarié ne doit subir les agissements répétés de harcèlement moral qui ont pour objet ou pour effet une dégradation de ses conditions de travail susceptible de porter atteinte à ses droits et à sa dignité, d'altérer sa santé physique ou mentale ou de compromettre son avenir professionnel. </w:t>
            </w:r>
            <w:r w:rsidRPr="002F03C7">
              <w:rPr>
                <w:rFonts w:cs="Arial"/>
                <w:b/>
                <w:bCs/>
                <w:sz w:val="14"/>
                <w:szCs w:val="14"/>
              </w:rPr>
              <w:t>Article L1152-2</w:t>
            </w:r>
            <w:r w:rsidRPr="002F03C7">
              <w:rPr>
                <w:rFonts w:cs="Arial"/>
                <w:sz w:val="14"/>
                <w:szCs w:val="14"/>
              </w:rPr>
              <w:t xml:space="preserve"> Aucun salarié, aucune personne en formation ou en stage ne peut être sanctionné, licencié ou faire l'objet d'une mesure discriminatoire, directe ou indirecte, notamment en matière de rémunération, de formation, de reclassement, d'affectation, de qualification, de classification, de promotion professionnelle, de mutation ou de renouvellement de contrat pour avoir subi ou refusé de subir des agissements répétés de harcèlement moral ou pour avoir témoigné de tels agissements ou les avoir relatés. </w:t>
            </w:r>
            <w:r w:rsidRPr="002F03C7">
              <w:rPr>
                <w:rFonts w:cs="Arial"/>
                <w:b/>
                <w:bCs/>
                <w:sz w:val="14"/>
                <w:szCs w:val="14"/>
              </w:rPr>
              <w:t>Article L1152-3</w:t>
            </w:r>
            <w:r w:rsidRPr="002F03C7">
              <w:rPr>
                <w:rFonts w:cs="Arial"/>
                <w:sz w:val="14"/>
                <w:szCs w:val="14"/>
              </w:rPr>
              <w:t xml:space="preserve"> Toute rupture du contrat de travail intervenue en méconnaissance des dispositions des articles L. 1152-1 et L. 1152-2, toute disposition ou tout acte contraire est nul. </w:t>
            </w:r>
            <w:r w:rsidRPr="002F03C7">
              <w:rPr>
                <w:rFonts w:cs="Arial"/>
                <w:b/>
                <w:bCs/>
                <w:sz w:val="14"/>
                <w:szCs w:val="14"/>
              </w:rPr>
              <w:t>Article L1152-4</w:t>
            </w:r>
            <w:r w:rsidRPr="002F03C7">
              <w:rPr>
                <w:rFonts w:cs="Arial"/>
                <w:sz w:val="14"/>
                <w:szCs w:val="14"/>
              </w:rPr>
              <w:t xml:space="preserve"> L'employeur prend toutes dispositions nécessaires en vue de prévenir les agissements de harcèlement moral. Les personnes mentionnées à l'article L. 1152-2 sont informées par tout moyen du texte de l'article 222-33-2 du code pénal. </w:t>
            </w:r>
            <w:r w:rsidRPr="002F03C7">
              <w:rPr>
                <w:rFonts w:cs="Arial"/>
                <w:b/>
                <w:bCs/>
                <w:sz w:val="14"/>
                <w:szCs w:val="14"/>
              </w:rPr>
              <w:t>Article L1152-5</w:t>
            </w:r>
            <w:r w:rsidRPr="002F03C7">
              <w:rPr>
                <w:rFonts w:cs="Arial"/>
                <w:sz w:val="14"/>
                <w:szCs w:val="14"/>
              </w:rPr>
              <w:t xml:space="preserve"> Tout salarié ayant procédé à des agissements de harcèlement moral est passible d'une sanction disciplinaire. </w:t>
            </w:r>
            <w:r w:rsidRPr="002F03C7">
              <w:rPr>
                <w:rFonts w:cs="Arial"/>
                <w:b/>
                <w:bCs/>
                <w:sz w:val="14"/>
                <w:szCs w:val="14"/>
              </w:rPr>
              <w:t>Article L1152-6</w:t>
            </w:r>
            <w:r w:rsidRPr="002F03C7">
              <w:rPr>
                <w:rFonts w:cs="Arial"/>
                <w:sz w:val="14"/>
                <w:szCs w:val="14"/>
              </w:rPr>
              <w:t xml:space="preserve"> Une procédure de médiation peut être mise en </w:t>
            </w:r>
            <w:proofErr w:type="spellStart"/>
            <w:r w:rsidRPr="002F03C7">
              <w:rPr>
                <w:rFonts w:cs="Arial"/>
                <w:sz w:val="14"/>
                <w:szCs w:val="14"/>
              </w:rPr>
              <w:t>oeuvre</w:t>
            </w:r>
            <w:proofErr w:type="spellEnd"/>
            <w:r w:rsidRPr="002F03C7">
              <w:rPr>
                <w:rFonts w:cs="Arial"/>
                <w:sz w:val="14"/>
                <w:szCs w:val="14"/>
              </w:rPr>
              <w:t xml:space="preserve"> par toute personne de l'entreprise s'estimant victime de harcèlement moral ou par la personne mise en cause. Le choix du médiateur fait l'objet d'un accord entre les parties. Le médiateur s'informe de l'état des relations entre les parties. Il tente de les concilier et leur soumet des propositions qu'il consigne par écrit en vue de mettre fin au harcèlement. Lorsque la conciliation échoue, le médiateur informe les parties des éventuelles sanctions encourues et des garanties procédurales prévues en faveur de la victime. </w:t>
            </w:r>
            <w:r w:rsidRPr="002F03C7">
              <w:rPr>
                <w:rFonts w:cs="Arial"/>
                <w:b/>
                <w:bCs/>
                <w:sz w:val="14"/>
                <w:szCs w:val="14"/>
              </w:rPr>
              <w:t>Article L1153-1</w:t>
            </w:r>
            <w:r w:rsidR="00EA4C85" w:rsidRPr="00ED05F9">
              <w:rPr>
                <w:rFonts w:cs="Arial"/>
                <w:i/>
                <w:iCs/>
                <w:sz w:val="14"/>
                <w:szCs w:val="14"/>
              </w:rPr>
              <w:t xml:space="preserve"> </w:t>
            </w:r>
            <w:r w:rsidR="00EA4C85" w:rsidRPr="00EA4C85">
              <w:rPr>
                <w:rFonts w:ascii="Arial" w:hAnsi="Arial" w:cs="Arial"/>
                <w:sz w:val="14"/>
                <w:szCs w:val="14"/>
              </w:rPr>
              <w:t>Aucun salarié ne doit subir des faits : 1°Soit de harcèlement sexuel, constitué par des propos ou comportements à connotation sexuelle ou sexiste répétés qui soit portent atteinte à sa dignité en raison de leur caractère dégradant ou humiliant, soit créent à son encontre une situation intimidante, hostile ou offensante. Le harcèlement sexuel est également constitué : a) Lorsqu'un même salarié subit de tels propos ou comportements venant de plusieurs personnes, de manière concertée ou à l'instigation de l'une d'elles, alors même que chacune de ces personnes n'a pas agi de façon répétée ; b) Lorsqu'un même salarié subit de tels propos ou comportements, successivement, venant de plusieurs personnes qui, même en l'absence de concertation, savent que ces propos ou comportements caractérisent une répétition ; 2° Soit assimilés au harcèlement sexuel, consistant en toute forme de pression grave, même non répétée, exercée dans le but réel ou apparent d'obtenir un acte de nature sexuelle, que celui-ci soit recherché au profit de l'auteur des faits ou au profit d'un tiers</w:t>
            </w:r>
            <w:r w:rsidR="00EA4C85" w:rsidRPr="00ED05F9">
              <w:rPr>
                <w:rFonts w:ascii="Arial" w:hAnsi="Arial" w:cs="Arial"/>
                <w:i/>
                <w:iCs/>
                <w:sz w:val="14"/>
                <w:szCs w:val="14"/>
              </w:rPr>
              <w:t>.</w:t>
            </w:r>
            <w:r w:rsidR="00EA4C85">
              <w:rPr>
                <w:rFonts w:ascii="Arial" w:hAnsi="Arial" w:cs="Arial"/>
                <w:i/>
                <w:iCs/>
                <w:sz w:val="14"/>
                <w:szCs w:val="14"/>
              </w:rPr>
              <w:t xml:space="preserve"> </w:t>
            </w:r>
            <w:r w:rsidRPr="002F03C7">
              <w:rPr>
                <w:rFonts w:cs="Arial"/>
                <w:b/>
                <w:bCs/>
                <w:sz w:val="14"/>
                <w:szCs w:val="14"/>
              </w:rPr>
              <w:t xml:space="preserve">Article L1153-2 </w:t>
            </w:r>
            <w:r w:rsidRPr="002F03C7">
              <w:rPr>
                <w:rFonts w:cs="Arial"/>
                <w:sz w:val="14"/>
                <w:szCs w:val="14"/>
              </w:rPr>
              <w:t xml:space="preserve">Aucun salarié, aucune personne en formation ou en stage, aucun candidat à un recrutement, à un stage ou à une formation en entreprise ne peut être sanctionné, licencié ou faire l'objet d'une mesure discriminatoire, directe ou indirecte, notamment en matière de rémunération, de formation, de reclassement, d'affectation, de qualification, de classification, de promotion professionnelle, de mutation ou de renouvellement de contrat pour avoir subi ou refusé de subir des faits de harcèlement sexuel tels que définis à l'article L. 1153-1, y compris, dans le cas mentionné au 1° du même article, si les propos ou comportements n'ont pas été répétés. </w:t>
            </w:r>
            <w:r w:rsidRPr="002F03C7">
              <w:rPr>
                <w:rFonts w:cs="Arial"/>
                <w:b/>
                <w:bCs/>
                <w:sz w:val="14"/>
                <w:szCs w:val="14"/>
              </w:rPr>
              <w:t>Article L1153-3</w:t>
            </w:r>
            <w:r w:rsidRPr="002F03C7">
              <w:rPr>
                <w:rFonts w:cs="Arial"/>
                <w:sz w:val="14"/>
                <w:szCs w:val="14"/>
              </w:rPr>
              <w:t xml:space="preserve"> Aucun salarié, aucune personne en formation ou en stage ne peut être sanctionné, licencié ou faire l'objet d'une mesure discriminatoire pour avoir témoigné de faits de harcèlement sexuel ou pour les avoir relatés. </w:t>
            </w:r>
            <w:r w:rsidRPr="002F03C7">
              <w:rPr>
                <w:rFonts w:cs="Arial"/>
                <w:b/>
                <w:bCs/>
                <w:sz w:val="14"/>
                <w:szCs w:val="14"/>
              </w:rPr>
              <w:t>Article L1153-4</w:t>
            </w:r>
            <w:r w:rsidRPr="002F03C7">
              <w:rPr>
                <w:rFonts w:cs="Arial"/>
                <w:sz w:val="14"/>
                <w:szCs w:val="14"/>
              </w:rPr>
              <w:t xml:space="preserve"> Toute disposition ou tout acte contraire aux dispositions des articles L. 1153-1 à L. 1153-3 est nul. </w:t>
            </w:r>
            <w:proofErr w:type="gramStart"/>
            <w:r w:rsidRPr="002F03C7">
              <w:rPr>
                <w:rFonts w:cs="Arial"/>
                <w:sz w:val="14"/>
                <w:szCs w:val="14"/>
              </w:rPr>
              <w:t>article</w:t>
            </w:r>
            <w:proofErr w:type="gramEnd"/>
            <w:r w:rsidRPr="002F03C7">
              <w:rPr>
                <w:rFonts w:cs="Arial"/>
                <w:sz w:val="14"/>
                <w:szCs w:val="14"/>
              </w:rPr>
              <w:t xml:space="preserve"> L1153-5 L'employeur prend toutes dispositions nécessaires en vue de prévenir les faits de harcèlement sexuel, d'y mettre un terme et de les sanctionner. Dans les lieux de travail ainsi que dans les locaux ou à la porte des locaux où se fait l'embauche, les personnes mentionnées à l'article L. 1153-2 sont informées par tout moyen du texte de l'article 222-33 du code pénal ainsi que des actions contentieuses civiles et pénales ouvertes en matière de harcèlement sexuel et des coordonnées des autorités et services compétents. La liste de ces services est définie par décret. Article L1153-5-1 Dans toute entreprise employant au moins deux cent cinquante salariés est désigné un référent chargé d'orienter, d'informer et d'accompagner les salariés en matière de lutte contre le harcèlement sexuel et les agissements sexistes. Article L1153-6 Tout salarié ayant procédé à des faits de harcèlement sexuel est passible d'une sanction disciplinaire</w:t>
            </w:r>
            <w:r w:rsidRPr="002F03C7">
              <w:rPr>
                <w:rFonts w:cs="Arial"/>
                <w:b/>
                <w:bCs/>
                <w:sz w:val="14"/>
                <w:szCs w:val="14"/>
              </w:rPr>
              <w:t>. Article L1154-1</w:t>
            </w:r>
            <w:r w:rsidRPr="002F03C7">
              <w:rPr>
                <w:rFonts w:cs="Arial"/>
                <w:sz w:val="14"/>
                <w:szCs w:val="14"/>
              </w:rPr>
              <w:t xml:space="preserve"> Lorsque survient un litige relatif à l'application des articles L. 1152-1 à L. 1152-3 et L. 1153-1 à L. 1153-4, le candidat à un emploi, à un stage ou à une période de formation en entreprise ou le salarié présente des éléments de fait laissant supposer l'existence d'un harcèlement. Au vu de ces éléments, il incombe à la partie défenderesse de prouver que ces agissements ne sont pas constitutifs d'un tel harcèlement et que sa décision est justifiée par des éléments objectifs étrangers à tout harcèlement. Le juge forme sa conviction après avoir ordonné, en cas de besoin, toutes les mesures d'instruction qu'il estime utiles. </w:t>
            </w:r>
            <w:r w:rsidRPr="002F03C7">
              <w:rPr>
                <w:rFonts w:cs="Arial"/>
                <w:b/>
                <w:bCs/>
                <w:sz w:val="14"/>
                <w:szCs w:val="14"/>
              </w:rPr>
              <w:t>Article L1154-2</w:t>
            </w:r>
            <w:r w:rsidRPr="002F03C7">
              <w:rPr>
                <w:rFonts w:cs="Arial"/>
                <w:sz w:val="14"/>
                <w:szCs w:val="14"/>
              </w:rPr>
              <w:t xml:space="preserve"> Les organisations syndicales représentatives dans l'entreprise peuvent exercer en justice toutes les actions résultant des articles L. 1152-1 à L. 1152-3 et L. 1153-1 à L. 1153-4. Elles peuvent exercer ces actions en faveur d'un salarié de l'entreprise dans les conditions prévues par l'article L. 1154-1, sous réserve de justifier d'un accord écrit de l'intéressé. L'intéressé peut toujours intervenir à l'instance engagée par le syndicat et y mettre fin à tout moment.</w:t>
            </w:r>
          </w:p>
        </w:tc>
      </w:tr>
    </w:tbl>
    <w:p w14:paraId="6FC397B0" w14:textId="2484EDDC" w:rsidR="00914788" w:rsidRPr="00DD684E" w:rsidRDefault="00DD684E" w:rsidP="000B2D96">
      <w:pPr>
        <w:spacing w:after="0" w:line="259" w:lineRule="auto"/>
        <w:ind w:left="-709"/>
        <w:jc w:val="center"/>
        <w:rPr>
          <w:rFonts w:asciiTheme="minorHAnsi" w:hAnsiTheme="minorHAnsi" w:cstheme="minorHAnsi"/>
          <w:i/>
          <w:iCs/>
          <w:sz w:val="16"/>
          <w:szCs w:val="16"/>
        </w:rPr>
      </w:pPr>
      <w:r>
        <w:rPr>
          <w:i/>
          <w:iCs/>
          <w:noProof/>
          <w:sz w:val="14"/>
          <w:szCs w:val="14"/>
        </w:rPr>
        <mc:AlternateContent>
          <mc:Choice Requires="wps">
            <w:drawing>
              <wp:anchor distT="0" distB="0" distL="114300" distR="114300" simplePos="0" relativeHeight="251659264" behindDoc="1" locked="0" layoutInCell="1" allowOverlap="1" wp14:anchorId="0370D3E6" wp14:editId="7E9336CF">
                <wp:simplePos x="0" y="0"/>
                <wp:positionH relativeFrom="margin">
                  <wp:align>left</wp:align>
                </wp:positionH>
                <wp:positionV relativeFrom="paragraph">
                  <wp:posOffset>13970</wp:posOffset>
                </wp:positionV>
                <wp:extent cx="7800975" cy="44767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7800975" cy="447675"/>
                        </a:xfrm>
                        <a:prstGeom prst="rect">
                          <a:avLst/>
                        </a:prstGeom>
                        <a:solidFill>
                          <a:schemeClr val="accent3">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8A61E07" w14:textId="77777777" w:rsidR="00DD684E" w:rsidRDefault="00DD684E" w:rsidP="00DD684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70D3E6" id="Rectangle 2" o:spid="_x0000_s1026" style="position:absolute;left:0;text-align:left;margin-left:0;margin-top:1.1pt;width:614.25pt;height:35.25pt;z-index:-251657216;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WzKiQIAAJAFAAAOAAAAZHJzL2Uyb0RvYy54bWysVFFPGzEMfp+0/xDlfdy1KxQqrqgCMU1i&#10;gICJ5zSXcJFycZakvet+/ZzkelSM7WFaH66O7Xy2v9g+v+hbTbbCeQWmopOjkhJhONTKvFT0+9P1&#10;p1NKfGCmZhqMqOhOeHqx/PjhvLMLMYUGdC0cQRDjF52taBOCXRSF541omT8CKwwaJbiWBTy6l6J2&#10;rEP0VhfTsjwpOnC1dcCF96i9yka6TPhSCh7upPQiEF1RzC2kr0vfdfwWy3O2eHHMNooPabB/yKJl&#10;ymDQEeqKBUY2Tv0G1SruwIMMRxzaAqRUXKQasJpJ+aaax4ZZkWpBcrwdafL/D5bfbh/tvUMaOusX&#10;HsVYRS9dG/8xP9InsnYjWaIPhKNyflqWZ/NjSjjaZrP5CcoIU7zets6HLwJaEoWKOnyMxBHb3viQ&#10;XfcuMZgHreprpXU6xAYQl9qRLcOnY5wLEz6n63rTfoM662cl/vIjohqfOqtP9mrMJrVSREq5HQQp&#10;XitOUthpEUNr8yAkUTXWOE0BR4TDXCbZ1LBaZPXxH2MmwIgssbgRewB4r87JQOTgH6+K1Mvj5fJv&#10;iWVqxxspMpgwXm6VAfcegA5j5OyPlB1QE8XQr/uhWdZQ7+4dcZCHylt+rfChb5gP98zhFOG84WYI&#10;d/iRGrqKwiBR0oD7+Z4++mNzo5WSDqeyov7HhjlBif5qsO3PJrNZHON0mB3Pp3hwh5b1ocVs2kvA&#10;7pngDrI8idE/6L0oHbTPuEBWMSqamOEYu6I8uP3hMuRtgSuIi9UqueHoWhZuzKPlETwSHBv5qX9m&#10;zg7dHnBObmE/wWzxpumzb7xpYLUJIFWaiEhx5nWgHsc+9e2wouJeOTwnr9dFuvwFAAD//wMAUEsD&#10;BBQABgAIAAAAIQBEzYSL3AAAAAYBAAAPAAAAZHJzL2Rvd25yZXYueG1sTI9BSwMxFITvgv8hPMGb&#10;zRqxXdbNFhE8CIVqW4rH7Oa5WUxe1iRt139veqrHYYaZb+rl5Cw7YoiDJwn3swIYUuf1QL2E3fb1&#10;rgQWkyKtrCeU8IsRls31Va0q7U/0gcdN6lkuoVgpCSalseI8dgadijM/ImXvywenUpah5zqoUy53&#10;louimHOnBsoLRo34YrD73hychPC2Xe1X77v5vrQPZk2x/Vz/BClvb6bnJ2AJp3QJwxk/o0OTmVp/&#10;IB2ZlZCPJAlCADubQpSPwFoJC7EA3tT8P37zBwAA//8DAFBLAQItABQABgAIAAAAIQC2gziS/gAA&#10;AOEBAAATAAAAAAAAAAAAAAAAAAAAAABbQ29udGVudF9UeXBlc10ueG1sUEsBAi0AFAAGAAgAAAAh&#10;ADj9If/WAAAAlAEAAAsAAAAAAAAAAAAAAAAALwEAAF9yZWxzLy5yZWxzUEsBAi0AFAAGAAgAAAAh&#10;AIitbMqJAgAAkAUAAA4AAAAAAAAAAAAAAAAALgIAAGRycy9lMm9Eb2MueG1sUEsBAi0AFAAGAAgA&#10;AAAhAETNhIvcAAAABgEAAA8AAAAAAAAAAAAAAAAA4wQAAGRycy9kb3ducmV2LnhtbFBLBQYAAAAA&#10;BAAEAPMAAADsBQAAAAA=&#10;" fillcolor="#dbdbdb [1302]" strokecolor="#1f3763 [1604]" strokeweight="1pt">
                <v:textbox>
                  <w:txbxContent>
                    <w:p w14:paraId="78A61E07" w14:textId="77777777" w:rsidR="00DD684E" w:rsidRDefault="00DD684E" w:rsidP="00DD684E">
                      <w:pPr>
                        <w:jc w:val="center"/>
                      </w:pPr>
                    </w:p>
                  </w:txbxContent>
                </v:textbox>
                <w10:wrap anchorx="margin"/>
              </v:rect>
            </w:pict>
          </mc:Fallback>
        </mc:AlternateContent>
      </w:r>
      <w:r w:rsidR="00B530F5" w:rsidRPr="00DD684E">
        <w:rPr>
          <w:rFonts w:asciiTheme="minorHAnsi" w:hAnsiTheme="minorHAnsi" w:cstheme="minorHAnsi"/>
          <w:i/>
          <w:iCs/>
          <w:sz w:val="16"/>
          <w:szCs w:val="16"/>
        </w:rPr>
        <w:t>Copyright du Syndicat des Indépendants (S.D.I.). Documents à l’usage exclusif des adhérents de l’organisation.</w:t>
      </w:r>
    </w:p>
    <w:p w14:paraId="66477B2B" w14:textId="38374B70" w:rsidR="00B530F5" w:rsidRPr="00DD684E" w:rsidRDefault="00B530F5" w:rsidP="000B2D96">
      <w:pPr>
        <w:spacing w:after="0" w:line="259" w:lineRule="auto"/>
        <w:ind w:left="-709"/>
        <w:jc w:val="center"/>
        <w:rPr>
          <w:rFonts w:asciiTheme="minorHAnsi" w:hAnsiTheme="minorHAnsi" w:cstheme="minorHAnsi"/>
          <w:i/>
          <w:iCs/>
          <w:sz w:val="16"/>
          <w:szCs w:val="16"/>
        </w:rPr>
      </w:pPr>
      <w:r w:rsidRPr="00DD684E">
        <w:rPr>
          <w:rFonts w:asciiTheme="minorHAnsi" w:hAnsiTheme="minorHAnsi" w:cstheme="minorHAnsi"/>
          <w:i/>
          <w:iCs/>
          <w:sz w:val="16"/>
          <w:szCs w:val="16"/>
        </w:rPr>
        <w:t>Avertissement : Compte tenu des nombreuses situations qui peuvent se rencontrer, les formules proposées constituent un simple guide de rédaction et ne peuvent être considérées comme prêtes à l’emploi.</w:t>
      </w:r>
    </w:p>
    <w:sectPr w:rsidR="00B530F5" w:rsidRPr="00DD684E" w:rsidSect="00470AE2">
      <w:type w:val="continuous"/>
      <w:pgSz w:w="23811" w:h="16838" w:orient="landscape" w:code="8"/>
      <w:pgMar w:top="1417" w:right="1417" w:bottom="1417"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AE2"/>
    <w:rsid w:val="000B2D96"/>
    <w:rsid w:val="000D0D51"/>
    <w:rsid w:val="000D6A76"/>
    <w:rsid w:val="0018460F"/>
    <w:rsid w:val="001A74BB"/>
    <w:rsid w:val="00274022"/>
    <w:rsid w:val="002F03C7"/>
    <w:rsid w:val="003019D7"/>
    <w:rsid w:val="003A4BA7"/>
    <w:rsid w:val="00470AE2"/>
    <w:rsid w:val="00487005"/>
    <w:rsid w:val="00582491"/>
    <w:rsid w:val="005948D5"/>
    <w:rsid w:val="006539CA"/>
    <w:rsid w:val="00794453"/>
    <w:rsid w:val="007D43C1"/>
    <w:rsid w:val="00812B78"/>
    <w:rsid w:val="00914788"/>
    <w:rsid w:val="00917F8D"/>
    <w:rsid w:val="009971ED"/>
    <w:rsid w:val="00A52828"/>
    <w:rsid w:val="00AF5F7D"/>
    <w:rsid w:val="00B04372"/>
    <w:rsid w:val="00B23FEE"/>
    <w:rsid w:val="00B35037"/>
    <w:rsid w:val="00B530F5"/>
    <w:rsid w:val="00B8776B"/>
    <w:rsid w:val="00C74718"/>
    <w:rsid w:val="00CB3E02"/>
    <w:rsid w:val="00CD1BB0"/>
    <w:rsid w:val="00CD6BEF"/>
    <w:rsid w:val="00D5786B"/>
    <w:rsid w:val="00D7620A"/>
    <w:rsid w:val="00D81C5B"/>
    <w:rsid w:val="00DD684E"/>
    <w:rsid w:val="00E553DE"/>
    <w:rsid w:val="00EA4C85"/>
    <w:rsid w:val="00F34BFF"/>
    <w:rsid w:val="00F61B82"/>
    <w:rsid w:val="00FC22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F4562"/>
  <w15:chartTrackingRefBased/>
  <w15:docId w15:val="{96DFA90E-BF7F-46BB-BEB0-85F65E61D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4372"/>
    <w:pPr>
      <w:spacing w:after="200" w:line="276" w:lineRule="auto"/>
    </w:pPr>
    <w:rPr>
      <w:rFonts w:ascii="Arial" w:hAnsi="Arial"/>
    </w:rPr>
  </w:style>
  <w:style w:type="paragraph" w:styleId="Titre2">
    <w:name w:val="heading 2"/>
    <w:basedOn w:val="Normal"/>
    <w:next w:val="Normal"/>
    <w:link w:val="Titre2Car"/>
    <w:uiPriority w:val="9"/>
    <w:semiHidden/>
    <w:unhideWhenUsed/>
    <w:qFormat/>
    <w:rsid w:val="00F34BF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semiHidden/>
    <w:rsid w:val="00F34BFF"/>
    <w:rPr>
      <w:rFonts w:asciiTheme="majorHAnsi" w:eastAsiaTheme="majorEastAsia" w:hAnsiTheme="majorHAnsi" w:cstheme="majorBidi"/>
      <w:color w:val="2F5496" w:themeColor="accent1" w:themeShade="BF"/>
      <w:sz w:val="26"/>
      <w:szCs w:val="26"/>
    </w:rPr>
  </w:style>
  <w:style w:type="character" w:styleId="Lienhypertexte">
    <w:name w:val="Hyperlink"/>
    <w:basedOn w:val="Policepardfaut"/>
    <w:uiPriority w:val="99"/>
    <w:unhideWhenUsed/>
    <w:rsid w:val="00F34BFF"/>
    <w:rPr>
      <w:color w:val="0563C1" w:themeColor="hyperlink"/>
      <w:u w:val="single"/>
    </w:rPr>
  </w:style>
  <w:style w:type="character" w:styleId="Mentionnonrsolue">
    <w:name w:val="Unresolved Mention"/>
    <w:basedOn w:val="Policepardfaut"/>
    <w:uiPriority w:val="99"/>
    <w:semiHidden/>
    <w:unhideWhenUsed/>
    <w:rsid w:val="00F34BFF"/>
    <w:rPr>
      <w:color w:val="605E5C"/>
      <w:shd w:val="clear" w:color="auto" w:fill="E1DFDD"/>
    </w:rPr>
  </w:style>
  <w:style w:type="table" w:styleId="Grilledutableau">
    <w:name w:val="Table Grid"/>
    <w:basedOn w:val="TableauNormal"/>
    <w:uiPriority w:val="39"/>
    <w:rsid w:val="000D0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4022"/>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EA4C85"/>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913377">
      <w:bodyDiv w:val="1"/>
      <w:marLeft w:val="0"/>
      <w:marRight w:val="0"/>
      <w:marTop w:val="0"/>
      <w:marBottom w:val="0"/>
      <w:divBdr>
        <w:top w:val="none" w:sz="0" w:space="0" w:color="auto"/>
        <w:left w:val="none" w:sz="0" w:space="0" w:color="auto"/>
        <w:bottom w:val="none" w:sz="0" w:space="0" w:color="auto"/>
        <w:right w:val="none" w:sz="0" w:space="0" w:color="auto"/>
      </w:divBdr>
      <w:divsChild>
        <w:div w:id="629364954">
          <w:marLeft w:val="0"/>
          <w:marRight w:val="0"/>
          <w:marTop w:val="0"/>
          <w:marBottom w:val="0"/>
          <w:divBdr>
            <w:top w:val="none" w:sz="0" w:space="0" w:color="auto"/>
            <w:left w:val="none" w:sz="0" w:space="0" w:color="auto"/>
            <w:bottom w:val="none" w:sz="0" w:space="0" w:color="auto"/>
            <w:right w:val="none" w:sz="0" w:space="0" w:color="auto"/>
          </w:divBdr>
        </w:div>
        <w:div w:id="10799841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1</Pages>
  <Words>2968</Words>
  <Characters>16327</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dc:creator>
  <cp:keywords/>
  <dc:description/>
  <cp:lastModifiedBy>SYNDICAT DES INDEPENDANTS</cp:lastModifiedBy>
  <cp:revision>25</cp:revision>
  <dcterms:created xsi:type="dcterms:W3CDTF">2021-01-13T14:08:00Z</dcterms:created>
  <dcterms:modified xsi:type="dcterms:W3CDTF">2025-10-09T13:43:00Z</dcterms:modified>
</cp:coreProperties>
</file>